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45F82" w14:textId="77777777" w:rsidR="00E06F57" w:rsidRPr="0091143D" w:rsidRDefault="00E06F57" w:rsidP="001613BF">
      <w:pPr>
        <w:spacing w:after="0" w:line="360" w:lineRule="auto"/>
        <w:jc w:val="center"/>
        <w:rPr>
          <w:rFonts w:ascii="Georgia" w:hAnsi="Georgia"/>
          <w:smallCaps/>
          <w:color w:val="000000"/>
          <w:sz w:val="24"/>
          <w:szCs w:val="24"/>
          <w:lang w:val="en-ZA"/>
        </w:rPr>
      </w:pPr>
      <w:r w:rsidRPr="00E06F57">
        <w:rPr>
          <w:rFonts w:ascii="Georgia" w:hAnsi="Georgia"/>
          <w:smallCaps/>
          <w:noProof/>
          <w:color w:val="000000"/>
          <w:sz w:val="24"/>
          <w:szCs w:val="24"/>
          <w:lang w:eastAsia="it-IT"/>
        </w:rPr>
        <w:drawing>
          <wp:inline distT="0" distB="0" distL="0" distR="0" wp14:anchorId="5831F352" wp14:editId="0F507C51">
            <wp:extent cx="4724400" cy="1276350"/>
            <wp:effectExtent l="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1276350"/>
                    </a:xfrm>
                    <a:prstGeom prst="rect">
                      <a:avLst/>
                    </a:prstGeom>
                    <a:noFill/>
                    <a:ln>
                      <a:noFill/>
                    </a:ln>
                  </pic:spPr>
                </pic:pic>
              </a:graphicData>
            </a:graphic>
          </wp:inline>
        </w:drawing>
      </w:r>
    </w:p>
    <w:p w14:paraId="3A20E687" w14:textId="77777777" w:rsidR="00E06F57" w:rsidRPr="00D0603F" w:rsidRDefault="0091143D" w:rsidP="001613BF">
      <w:pPr>
        <w:tabs>
          <w:tab w:val="left" w:pos="2115"/>
        </w:tabs>
        <w:spacing w:after="0" w:line="360" w:lineRule="auto"/>
        <w:jc w:val="center"/>
        <w:rPr>
          <w:rFonts w:ascii="Georgia" w:hAnsi="Georgia"/>
          <w:lang w:val="es-ES"/>
        </w:rPr>
      </w:pPr>
      <w:proofErr w:type="spellStart"/>
      <w:r w:rsidRPr="00D0603F">
        <w:rPr>
          <w:rFonts w:ascii="Georgia" w:hAnsi="Georgia"/>
          <w:smallCaps/>
          <w:lang w:val="es-ES"/>
        </w:rPr>
        <w:t>issn</w:t>
      </w:r>
      <w:proofErr w:type="spellEnd"/>
      <w:r w:rsidRPr="00D0603F">
        <w:rPr>
          <w:rFonts w:ascii="Georgia" w:hAnsi="Georgia"/>
          <w:smallCaps/>
          <w:lang w:val="es-ES"/>
        </w:rPr>
        <w:t xml:space="preserve"> 2421-0730</w:t>
      </w:r>
    </w:p>
    <w:p w14:paraId="1B389CE4" w14:textId="77777777" w:rsidR="00E06F57" w:rsidRPr="00D0603F" w:rsidRDefault="009958FD" w:rsidP="001613BF">
      <w:pPr>
        <w:spacing w:after="0" w:line="360" w:lineRule="auto"/>
        <w:jc w:val="center"/>
        <w:rPr>
          <w:rFonts w:ascii="Georgia" w:hAnsi="Georgia"/>
          <w:smallCaps/>
          <w:lang w:val="es-ES"/>
        </w:rPr>
      </w:pPr>
      <w:r w:rsidRPr="00D0603F">
        <w:rPr>
          <w:rFonts w:ascii="Georgia" w:hAnsi="Georgia"/>
          <w:smallCaps/>
          <w:lang w:val="es-ES"/>
        </w:rPr>
        <w:t xml:space="preserve">Numero 2 – </w:t>
      </w:r>
      <w:proofErr w:type="spellStart"/>
      <w:r w:rsidRPr="00D0603F">
        <w:rPr>
          <w:rFonts w:ascii="Georgia" w:hAnsi="Georgia"/>
          <w:smallCaps/>
          <w:lang w:val="es-ES"/>
        </w:rPr>
        <w:t>Dicembre</w:t>
      </w:r>
      <w:proofErr w:type="spellEnd"/>
      <w:r w:rsidRPr="00D0603F">
        <w:rPr>
          <w:rFonts w:ascii="Georgia" w:hAnsi="Georgia"/>
          <w:smallCaps/>
          <w:lang w:val="es-ES"/>
        </w:rPr>
        <w:t xml:space="preserve"> 2017</w:t>
      </w:r>
    </w:p>
    <w:p w14:paraId="65E7941E" w14:textId="77777777" w:rsidR="0091143D" w:rsidRPr="00D0603F" w:rsidRDefault="0091143D" w:rsidP="001613BF">
      <w:pPr>
        <w:spacing w:after="0" w:line="360" w:lineRule="auto"/>
        <w:jc w:val="center"/>
        <w:rPr>
          <w:rFonts w:ascii="Georgia" w:hAnsi="Georgia"/>
          <w:smallCaps/>
          <w:sz w:val="36"/>
          <w:szCs w:val="36"/>
          <w:lang w:val="es-ES"/>
        </w:rPr>
      </w:pPr>
    </w:p>
    <w:p w14:paraId="002A3312" w14:textId="77777777" w:rsidR="00E06F57" w:rsidRPr="009958FD" w:rsidRDefault="00D0603F" w:rsidP="001613BF">
      <w:pPr>
        <w:spacing w:after="0" w:line="360" w:lineRule="auto"/>
        <w:jc w:val="center"/>
        <w:rPr>
          <w:rFonts w:ascii="Georgia" w:hAnsi="Georgia"/>
          <w:smallCaps/>
          <w:sz w:val="32"/>
          <w:szCs w:val="32"/>
        </w:rPr>
      </w:pPr>
      <w:bookmarkStart w:id="0" w:name="_GoBack"/>
      <w:proofErr w:type="spellStart"/>
      <w:r>
        <w:rPr>
          <w:rFonts w:ascii="Georgia" w:hAnsi="Georgia"/>
          <w:smallCaps/>
          <w:sz w:val="32"/>
          <w:szCs w:val="32"/>
        </w:rPr>
        <w:t>Augustín</w:t>
      </w:r>
      <w:proofErr w:type="spellEnd"/>
      <w:r>
        <w:rPr>
          <w:rFonts w:ascii="Georgia" w:hAnsi="Georgia"/>
          <w:smallCaps/>
          <w:sz w:val="32"/>
          <w:szCs w:val="32"/>
        </w:rPr>
        <w:t xml:space="preserve"> José</w:t>
      </w:r>
      <w:r w:rsidR="009958FD" w:rsidRPr="009958FD">
        <w:rPr>
          <w:rFonts w:ascii="Georgia" w:hAnsi="Georgia"/>
          <w:smallCaps/>
          <w:sz w:val="32"/>
          <w:szCs w:val="32"/>
        </w:rPr>
        <w:t xml:space="preserve"> </w:t>
      </w:r>
      <w:proofErr w:type="spellStart"/>
      <w:r>
        <w:rPr>
          <w:rFonts w:ascii="Georgia" w:hAnsi="Georgia"/>
          <w:bCs/>
          <w:smallCaps/>
          <w:sz w:val="32"/>
          <w:szCs w:val="32"/>
        </w:rPr>
        <w:t>Menéndez</w:t>
      </w:r>
      <w:proofErr w:type="spellEnd"/>
    </w:p>
    <w:bookmarkEnd w:id="0"/>
    <w:p w14:paraId="6DF5E9CA" w14:textId="77777777" w:rsidR="007C6CD6" w:rsidRPr="00D0603F" w:rsidRDefault="007C6CD6" w:rsidP="001613BF">
      <w:pPr>
        <w:tabs>
          <w:tab w:val="left" w:pos="2115"/>
        </w:tabs>
        <w:spacing w:after="0" w:line="360" w:lineRule="auto"/>
        <w:rPr>
          <w:rFonts w:ascii="Georgia" w:hAnsi="Georgia"/>
          <w:b/>
          <w:sz w:val="32"/>
          <w:szCs w:val="32"/>
        </w:rPr>
      </w:pPr>
    </w:p>
    <w:p w14:paraId="0E16E9B1" w14:textId="77777777" w:rsidR="009958FD" w:rsidRPr="00281F24" w:rsidRDefault="00D0603F" w:rsidP="001613BF">
      <w:pPr>
        <w:tabs>
          <w:tab w:val="left" w:pos="2115"/>
        </w:tabs>
        <w:spacing w:after="0" w:line="360" w:lineRule="auto"/>
        <w:jc w:val="center"/>
        <w:rPr>
          <w:rFonts w:ascii="Georgia" w:hAnsi="Georgia"/>
          <w:b/>
          <w:sz w:val="32"/>
          <w:szCs w:val="32"/>
          <w:lang w:val="en-US"/>
        </w:rPr>
      </w:pPr>
      <w:r w:rsidRPr="00281F24">
        <w:rPr>
          <w:rFonts w:ascii="Georgia" w:hAnsi="Georgia"/>
          <w:b/>
          <w:sz w:val="32"/>
          <w:szCs w:val="32"/>
          <w:lang w:val="en-US"/>
        </w:rPr>
        <w:t xml:space="preserve">Ni </w:t>
      </w:r>
      <w:proofErr w:type="spellStart"/>
      <w:r w:rsidRPr="00281F24">
        <w:rPr>
          <w:rFonts w:ascii="Georgia" w:hAnsi="Georgia"/>
          <w:b/>
          <w:sz w:val="32"/>
          <w:szCs w:val="32"/>
          <w:lang w:val="en-US"/>
        </w:rPr>
        <w:t>tótem</w:t>
      </w:r>
      <w:proofErr w:type="spellEnd"/>
      <w:r w:rsidRPr="00281F24">
        <w:rPr>
          <w:rFonts w:ascii="Georgia" w:hAnsi="Georgia"/>
          <w:b/>
          <w:sz w:val="32"/>
          <w:szCs w:val="32"/>
          <w:lang w:val="en-US"/>
        </w:rPr>
        <w:t xml:space="preserve"> </w:t>
      </w:r>
      <w:proofErr w:type="spellStart"/>
      <w:r w:rsidRPr="00281F24">
        <w:rPr>
          <w:rFonts w:ascii="Georgia" w:hAnsi="Georgia"/>
          <w:b/>
          <w:sz w:val="32"/>
          <w:szCs w:val="32"/>
          <w:lang w:val="en-US"/>
        </w:rPr>
        <w:t>ni</w:t>
      </w:r>
      <w:proofErr w:type="spellEnd"/>
      <w:r w:rsidR="009958FD" w:rsidRPr="00281F24">
        <w:rPr>
          <w:rFonts w:ascii="Georgia" w:hAnsi="Georgia"/>
          <w:b/>
          <w:sz w:val="32"/>
          <w:szCs w:val="32"/>
          <w:lang w:val="en-US"/>
        </w:rPr>
        <w:t xml:space="preserve"> </w:t>
      </w:r>
      <w:proofErr w:type="spellStart"/>
      <w:r w:rsidRPr="00281F24">
        <w:rPr>
          <w:rFonts w:ascii="Georgia" w:hAnsi="Georgia"/>
          <w:b/>
          <w:sz w:val="32"/>
          <w:szCs w:val="32"/>
          <w:lang w:val="en-US"/>
        </w:rPr>
        <w:t>fetiche</w:t>
      </w:r>
      <w:proofErr w:type="spellEnd"/>
    </w:p>
    <w:p w14:paraId="200FDE2E" w14:textId="77777777" w:rsidR="007C6CD6" w:rsidRPr="00281F24" w:rsidRDefault="007C6CD6" w:rsidP="001613BF">
      <w:pPr>
        <w:tabs>
          <w:tab w:val="left" w:pos="2115"/>
        </w:tabs>
        <w:spacing w:after="0" w:line="360" w:lineRule="auto"/>
        <w:rPr>
          <w:rFonts w:ascii="Georgia" w:hAnsi="Georgia"/>
          <w:b/>
          <w:sz w:val="28"/>
          <w:szCs w:val="32"/>
          <w:lang w:val="en-US"/>
        </w:rPr>
      </w:pPr>
    </w:p>
    <w:p w14:paraId="1BCB4B00" w14:textId="77777777" w:rsidR="00281F24" w:rsidRDefault="0091143D" w:rsidP="001613BF">
      <w:pPr>
        <w:spacing w:after="0" w:line="360" w:lineRule="auto"/>
        <w:jc w:val="both"/>
        <w:rPr>
          <w:rFonts w:ascii="Georgia" w:hAnsi="Georgia"/>
          <w:sz w:val="24"/>
          <w:szCs w:val="24"/>
          <w:lang w:val="en-US"/>
        </w:rPr>
      </w:pPr>
      <w:r w:rsidRPr="009958FD">
        <w:rPr>
          <w:rFonts w:ascii="Georgia" w:hAnsi="Georgia"/>
          <w:b/>
          <w:sz w:val="24"/>
          <w:szCs w:val="24"/>
          <w:lang w:val="en-US"/>
        </w:rPr>
        <w:t>A</w:t>
      </w:r>
      <w:r w:rsidRPr="009958FD">
        <w:rPr>
          <w:rFonts w:ascii="Georgia" w:hAnsi="Georgia"/>
          <w:b/>
          <w:smallCaps/>
          <w:sz w:val="24"/>
          <w:szCs w:val="24"/>
          <w:lang w:val="en-US"/>
        </w:rPr>
        <w:t>bstract</w:t>
      </w:r>
      <w:r w:rsidR="009958FD" w:rsidRPr="009958FD">
        <w:rPr>
          <w:rFonts w:ascii="Georgia" w:hAnsi="Georgia"/>
          <w:b/>
          <w:smallCaps/>
          <w:sz w:val="24"/>
          <w:szCs w:val="24"/>
          <w:lang w:val="en-US"/>
        </w:rPr>
        <w:t xml:space="preserve"> </w:t>
      </w:r>
      <w:r w:rsidRPr="009958FD">
        <w:rPr>
          <w:rFonts w:ascii="Georgia" w:hAnsi="Georgia"/>
          <w:b/>
          <w:smallCaps/>
          <w:sz w:val="24"/>
          <w:szCs w:val="24"/>
          <w:lang w:val="en-US"/>
        </w:rPr>
        <w:t>-</w:t>
      </w:r>
      <w:r w:rsidRPr="009958FD">
        <w:rPr>
          <w:rFonts w:ascii="Georgia" w:hAnsi="Georgia"/>
          <w:smallCaps/>
          <w:sz w:val="24"/>
          <w:szCs w:val="24"/>
          <w:lang w:val="en-US"/>
        </w:rPr>
        <w:t xml:space="preserve"> </w:t>
      </w:r>
      <w:r w:rsidR="009958FD" w:rsidRPr="009958FD">
        <w:rPr>
          <w:rFonts w:ascii="Georgia" w:hAnsi="Georgia"/>
          <w:sz w:val="24"/>
          <w:szCs w:val="24"/>
          <w:lang w:val="en-US"/>
        </w:rPr>
        <w:t xml:space="preserve">The </w:t>
      </w:r>
      <w:r w:rsidR="00281F24">
        <w:rPr>
          <w:rFonts w:ascii="Georgia" w:hAnsi="Georgia"/>
          <w:sz w:val="24"/>
          <w:szCs w:val="24"/>
          <w:lang w:val="en-US"/>
        </w:rPr>
        <w:t xml:space="preserve">“Catalan </w:t>
      </w:r>
      <w:r w:rsidR="00316298">
        <w:rPr>
          <w:rFonts w:ascii="Georgia" w:hAnsi="Georgia"/>
          <w:sz w:val="24"/>
          <w:szCs w:val="24"/>
          <w:lang w:val="en-US"/>
        </w:rPr>
        <w:t>Independent</w:t>
      </w:r>
      <w:r w:rsidR="00281F24">
        <w:rPr>
          <w:rFonts w:ascii="Georgia" w:hAnsi="Georgia"/>
          <w:sz w:val="24"/>
          <w:szCs w:val="24"/>
          <w:lang w:val="en-US"/>
        </w:rPr>
        <w:t xml:space="preserve"> Crisis” is a symbol of the structural crisis of the Spanish Constitutional order. By one side, the arguments against the </w:t>
      </w:r>
      <w:r w:rsidR="00316298">
        <w:rPr>
          <w:rFonts w:ascii="Georgia" w:hAnsi="Georgia"/>
          <w:sz w:val="24"/>
          <w:szCs w:val="24"/>
          <w:lang w:val="en-US"/>
        </w:rPr>
        <w:t>independence</w:t>
      </w:r>
      <w:r w:rsidR="00281F24">
        <w:rPr>
          <w:rFonts w:ascii="Georgia" w:hAnsi="Georgia"/>
          <w:sz w:val="24"/>
          <w:szCs w:val="24"/>
          <w:lang w:val="en-US"/>
        </w:rPr>
        <w:t xml:space="preserve"> lack of the substantial reference to popular will but on the other side the arguments in favor are contradictory </w:t>
      </w:r>
      <w:r w:rsidR="00DD05B6">
        <w:rPr>
          <w:rFonts w:ascii="Georgia" w:hAnsi="Georgia"/>
          <w:sz w:val="24"/>
          <w:szCs w:val="24"/>
          <w:lang w:val="en-US"/>
        </w:rPr>
        <w:t xml:space="preserve">when they try to find its legitimacy in the constitutional order they are challenging. The solution could be find in a “semantic conception” of the constitution, according to which only the popular vote can reestablish the political certainty. </w:t>
      </w:r>
    </w:p>
    <w:p w14:paraId="610912FE" w14:textId="77777777" w:rsidR="0091143D" w:rsidRPr="009958FD" w:rsidRDefault="0091143D" w:rsidP="001613BF">
      <w:pPr>
        <w:tabs>
          <w:tab w:val="left" w:pos="2115"/>
        </w:tabs>
        <w:spacing w:after="0" w:line="360" w:lineRule="auto"/>
        <w:rPr>
          <w:rFonts w:ascii="Georgia" w:hAnsi="Georgia"/>
          <w:sz w:val="24"/>
          <w:szCs w:val="28"/>
          <w:lang w:val="en-US"/>
        </w:rPr>
      </w:pPr>
    </w:p>
    <w:p w14:paraId="342A8BDE" w14:textId="77777777" w:rsidR="009958FD" w:rsidRPr="00E60418" w:rsidRDefault="007C6CD6" w:rsidP="001613BF">
      <w:pPr>
        <w:spacing w:after="0" w:line="360" w:lineRule="auto"/>
        <w:jc w:val="both"/>
        <w:rPr>
          <w:rFonts w:ascii="Georgia" w:hAnsi="Georgia"/>
          <w:sz w:val="24"/>
          <w:szCs w:val="24"/>
          <w:lang w:val="en-US"/>
        </w:rPr>
      </w:pPr>
      <w:r w:rsidRPr="001613BF">
        <w:rPr>
          <w:rFonts w:ascii="Georgia" w:hAnsi="Georgia"/>
          <w:b/>
          <w:bCs/>
          <w:smallCaps/>
          <w:sz w:val="24"/>
          <w:szCs w:val="28"/>
          <w:lang w:val="en-US"/>
        </w:rPr>
        <w:t xml:space="preserve">Keywords </w:t>
      </w:r>
      <w:r w:rsidR="00DD05B6">
        <w:rPr>
          <w:rFonts w:ascii="Georgia" w:hAnsi="Georgia"/>
          <w:b/>
          <w:bCs/>
          <w:smallCaps/>
          <w:sz w:val="24"/>
          <w:szCs w:val="28"/>
          <w:lang w:val="en-US"/>
        </w:rPr>
        <w:t>–</w:t>
      </w:r>
      <w:r w:rsidR="0091143D" w:rsidRPr="001613BF">
        <w:rPr>
          <w:rFonts w:ascii="Georgia" w:hAnsi="Georgia"/>
          <w:b/>
          <w:bCs/>
          <w:smallCaps/>
          <w:sz w:val="24"/>
          <w:szCs w:val="28"/>
          <w:lang w:val="en-US"/>
        </w:rPr>
        <w:t xml:space="preserve"> </w:t>
      </w:r>
      <w:r w:rsidR="00316298">
        <w:rPr>
          <w:rFonts w:ascii="Georgia" w:hAnsi="Georgia"/>
          <w:sz w:val="24"/>
          <w:szCs w:val="24"/>
          <w:lang w:val="en-US"/>
        </w:rPr>
        <w:t>Catalan</w:t>
      </w:r>
      <w:r w:rsidR="00DD05B6">
        <w:rPr>
          <w:rFonts w:ascii="Georgia" w:hAnsi="Georgia"/>
          <w:sz w:val="24"/>
          <w:szCs w:val="24"/>
          <w:lang w:val="en-US"/>
        </w:rPr>
        <w:t xml:space="preserve"> Crisis, </w:t>
      </w:r>
      <w:r w:rsidR="00316298">
        <w:rPr>
          <w:rFonts w:ascii="Georgia" w:hAnsi="Georgia"/>
          <w:sz w:val="24"/>
          <w:szCs w:val="24"/>
          <w:lang w:val="en-US"/>
        </w:rPr>
        <w:t>Independence</w:t>
      </w:r>
      <w:r w:rsidR="00DD05B6">
        <w:rPr>
          <w:rFonts w:ascii="Georgia" w:hAnsi="Georgia"/>
          <w:sz w:val="24"/>
          <w:szCs w:val="24"/>
          <w:lang w:val="en-US"/>
        </w:rPr>
        <w:t>, Refere</w:t>
      </w:r>
      <w:r w:rsidR="008C653C">
        <w:rPr>
          <w:rFonts w:ascii="Georgia" w:hAnsi="Georgia"/>
          <w:sz w:val="24"/>
          <w:szCs w:val="24"/>
          <w:lang w:val="en-US"/>
        </w:rPr>
        <w:t>ndum, Constitutional legitimacy</w:t>
      </w:r>
    </w:p>
    <w:p w14:paraId="5F448536" w14:textId="77777777" w:rsidR="0091143D" w:rsidRPr="001613BF" w:rsidRDefault="0091143D" w:rsidP="001613BF">
      <w:pPr>
        <w:tabs>
          <w:tab w:val="left" w:pos="2115"/>
        </w:tabs>
        <w:spacing w:after="0" w:line="360" w:lineRule="auto"/>
        <w:rPr>
          <w:rFonts w:ascii="Georgia" w:hAnsi="Georgia"/>
          <w:sz w:val="24"/>
          <w:szCs w:val="28"/>
          <w:lang w:val="en-US"/>
        </w:rPr>
      </w:pPr>
    </w:p>
    <w:p w14:paraId="62B73FFB" w14:textId="77777777" w:rsidR="00281F24" w:rsidRDefault="00281F24" w:rsidP="008C653C">
      <w:pPr>
        <w:spacing w:after="0" w:line="360" w:lineRule="auto"/>
        <w:rPr>
          <w:rFonts w:ascii="Georgia" w:hAnsi="Georgia"/>
          <w:sz w:val="24"/>
          <w:szCs w:val="24"/>
          <w:lang w:val="en-US"/>
        </w:rPr>
      </w:pPr>
    </w:p>
    <w:p w14:paraId="2B1E7872" w14:textId="77777777" w:rsidR="008C653C" w:rsidRDefault="008C653C" w:rsidP="008C653C">
      <w:pPr>
        <w:spacing w:after="0" w:line="360" w:lineRule="auto"/>
        <w:rPr>
          <w:rFonts w:ascii="Georgia" w:hAnsi="Georgia"/>
          <w:sz w:val="24"/>
          <w:szCs w:val="24"/>
          <w:lang w:val="en-US"/>
        </w:rPr>
      </w:pPr>
    </w:p>
    <w:p w14:paraId="4AFF7558" w14:textId="77777777" w:rsidR="00316298" w:rsidRDefault="00316298" w:rsidP="008C653C">
      <w:pPr>
        <w:spacing w:after="0" w:line="360" w:lineRule="auto"/>
        <w:rPr>
          <w:rFonts w:ascii="Georgia" w:hAnsi="Georgia"/>
          <w:sz w:val="24"/>
          <w:szCs w:val="24"/>
          <w:lang w:val="en-US"/>
        </w:rPr>
      </w:pPr>
    </w:p>
    <w:p w14:paraId="45459932" w14:textId="77777777" w:rsidR="00316298" w:rsidRPr="001613BF" w:rsidRDefault="00316298" w:rsidP="008C653C">
      <w:pPr>
        <w:spacing w:after="0" w:line="360" w:lineRule="auto"/>
        <w:rPr>
          <w:rFonts w:ascii="Georgia" w:hAnsi="Georgia"/>
          <w:sz w:val="24"/>
          <w:szCs w:val="24"/>
          <w:lang w:val="en-US"/>
        </w:rPr>
      </w:pPr>
    </w:p>
    <w:p w14:paraId="1A12E00B" w14:textId="77777777" w:rsidR="000851E6" w:rsidRPr="001613BF" w:rsidRDefault="00D0603F" w:rsidP="001613BF">
      <w:pPr>
        <w:spacing w:after="0" w:line="360" w:lineRule="auto"/>
        <w:jc w:val="center"/>
        <w:rPr>
          <w:rFonts w:ascii="Georgia" w:hAnsi="Georgia"/>
          <w:sz w:val="24"/>
          <w:szCs w:val="24"/>
          <w:lang w:val="en-US"/>
        </w:rPr>
      </w:pPr>
      <w:proofErr w:type="spellStart"/>
      <w:r>
        <w:rPr>
          <w:rFonts w:ascii="Georgia" w:hAnsi="Georgia"/>
          <w:smallCaps/>
          <w:sz w:val="24"/>
          <w:szCs w:val="24"/>
          <w:lang w:val="en-US"/>
        </w:rPr>
        <w:lastRenderedPageBreak/>
        <w:t>Augustín</w:t>
      </w:r>
      <w:proofErr w:type="spellEnd"/>
      <w:r w:rsidR="000851E6" w:rsidRPr="001613BF">
        <w:rPr>
          <w:rFonts w:ascii="Georgia" w:hAnsi="Georgia"/>
          <w:smallCaps/>
          <w:sz w:val="24"/>
          <w:szCs w:val="24"/>
          <w:lang w:val="en-US"/>
        </w:rPr>
        <w:t xml:space="preserve"> </w:t>
      </w:r>
      <w:r>
        <w:rPr>
          <w:rFonts w:ascii="Georgia" w:hAnsi="Georgia"/>
          <w:smallCaps/>
          <w:sz w:val="24"/>
          <w:szCs w:val="24"/>
          <w:lang w:val="en-US"/>
        </w:rPr>
        <w:t>José Menéndez</w:t>
      </w:r>
      <w:r w:rsidR="000851E6" w:rsidRPr="00162314">
        <w:rPr>
          <w:rStyle w:val="Rimandonotaapidipagina"/>
          <w:rFonts w:ascii="Georgia" w:hAnsi="Georgia"/>
          <w:smallCaps/>
          <w:sz w:val="24"/>
          <w:szCs w:val="24"/>
        </w:rPr>
        <w:footnoteReference w:customMarkFollows="1" w:id="1"/>
        <w:sym w:font="Symbol" w:char="F02A"/>
      </w:r>
    </w:p>
    <w:p w14:paraId="6129C768" w14:textId="77777777" w:rsidR="000851E6" w:rsidRPr="001613BF" w:rsidRDefault="000851E6" w:rsidP="001613BF">
      <w:pPr>
        <w:spacing w:after="0" w:line="360" w:lineRule="auto"/>
        <w:jc w:val="center"/>
        <w:rPr>
          <w:rFonts w:ascii="Georgia" w:hAnsi="Georgia"/>
          <w:sz w:val="24"/>
          <w:szCs w:val="24"/>
          <w:lang w:val="en-US"/>
        </w:rPr>
      </w:pPr>
    </w:p>
    <w:p w14:paraId="1AD3D094" w14:textId="77777777" w:rsidR="000851E6" w:rsidRPr="00D0603F" w:rsidRDefault="00D0603F" w:rsidP="001613BF">
      <w:pPr>
        <w:spacing w:after="0" w:line="360" w:lineRule="auto"/>
        <w:jc w:val="center"/>
        <w:rPr>
          <w:rFonts w:ascii="Georgia" w:hAnsi="Georgia"/>
          <w:b/>
          <w:sz w:val="24"/>
          <w:szCs w:val="24"/>
          <w:lang w:val="en-US"/>
        </w:rPr>
      </w:pPr>
      <w:r w:rsidRPr="00D0603F">
        <w:rPr>
          <w:rFonts w:ascii="Georgia" w:hAnsi="Georgia"/>
          <w:b/>
          <w:sz w:val="24"/>
          <w:szCs w:val="24"/>
          <w:lang w:val="en-US"/>
        </w:rPr>
        <w:t xml:space="preserve">Ni </w:t>
      </w:r>
      <w:proofErr w:type="spellStart"/>
      <w:r w:rsidRPr="00D0603F">
        <w:rPr>
          <w:rFonts w:ascii="Georgia" w:hAnsi="Georgia"/>
          <w:b/>
          <w:sz w:val="24"/>
          <w:szCs w:val="24"/>
          <w:lang w:val="en-US"/>
        </w:rPr>
        <w:t>tótem</w:t>
      </w:r>
      <w:proofErr w:type="spellEnd"/>
      <w:r w:rsidRPr="00D0603F">
        <w:rPr>
          <w:rFonts w:ascii="Georgia" w:hAnsi="Georgia"/>
          <w:b/>
          <w:sz w:val="24"/>
          <w:szCs w:val="24"/>
          <w:lang w:val="en-US"/>
        </w:rPr>
        <w:t xml:space="preserve"> </w:t>
      </w:r>
      <w:proofErr w:type="spellStart"/>
      <w:r w:rsidRPr="00D0603F">
        <w:rPr>
          <w:rFonts w:ascii="Georgia" w:hAnsi="Georgia"/>
          <w:b/>
          <w:sz w:val="24"/>
          <w:szCs w:val="24"/>
          <w:lang w:val="en-US"/>
        </w:rPr>
        <w:t>ni</w:t>
      </w:r>
      <w:proofErr w:type="spellEnd"/>
      <w:r w:rsidRPr="00D0603F">
        <w:rPr>
          <w:rFonts w:ascii="Georgia" w:hAnsi="Georgia"/>
          <w:b/>
          <w:sz w:val="24"/>
          <w:szCs w:val="24"/>
          <w:lang w:val="en-US"/>
        </w:rPr>
        <w:t xml:space="preserve"> </w:t>
      </w:r>
      <w:proofErr w:type="spellStart"/>
      <w:r w:rsidRPr="00D0603F">
        <w:rPr>
          <w:rFonts w:ascii="Georgia" w:hAnsi="Georgia"/>
          <w:b/>
          <w:sz w:val="24"/>
          <w:szCs w:val="24"/>
          <w:lang w:val="en-US"/>
        </w:rPr>
        <w:t>fetiche</w:t>
      </w:r>
      <w:proofErr w:type="spellEnd"/>
      <w:r w:rsidR="00BF468B" w:rsidRPr="007C2BC1">
        <w:rPr>
          <w:rStyle w:val="Rimandonotaapidipagina"/>
          <w:rFonts w:ascii="Georgia" w:eastAsia="Times New Roman" w:hAnsi="Georgia"/>
          <w:sz w:val="24"/>
          <w:szCs w:val="24"/>
          <w:lang w:val="en-US"/>
        </w:rPr>
        <w:footnoteReference w:customMarkFollows="1" w:id="2"/>
        <w:t>**</w:t>
      </w:r>
    </w:p>
    <w:p w14:paraId="4AF5718A" w14:textId="77777777" w:rsidR="000851E6" w:rsidRPr="00D0603F" w:rsidRDefault="000851E6" w:rsidP="001613BF">
      <w:pPr>
        <w:spacing w:after="0" w:line="360" w:lineRule="auto"/>
        <w:jc w:val="both"/>
        <w:rPr>
          <w:rFonts w:ascii="Georgia" w:hAnsi="Georgia"/>
          <w:b/>
          <w:sz w:val="20"/>
          <w:szCs w:val="20"/>
          <w:lang w:val="en-US"/>
        </w:rPr>
      </w:pPr>
    </w:p>
    <w:p w14:paraId="4511A8AE" w14:textId="77777777" w:rsidR="000851E6" w:rsidRPr="00BF468B" w:rsidRDefault="000851E6" w:rsidP="001613BF">
      <w:pPr>
        <w:spacing w:after="0" w:line="360" w:lineRule="auto"/>
        <w:jc w:val="both"/>
        <w:rPr>
          <w:rFonts w:ascii="Georgia" w:hAnsi="Georgia"/>
          <w:i/>
          <w:sz w:val="20"/>
          <w:szCs w:val="20"/>
        </w:rPr>
      </w:pPr>
      <w:r w:rsidRPr="00D0603F">
        <w:rPr>
          <w:rFonts w:ascii="Georgia" w:hAnsi="Georgia"/>
          <w:sz w:val="20"/>
          <w:szCs w:val="20"/>
        </w:rPr>
        <w:t>S</w:t>
      </w:r>
      <w:r w:rsidRPr="00D0603F">
        <w:rPr>
          <w:rFonts w:ascii="Georgia" w:hAnsi="Georgia"/>
          <w:smallCaps/>
          <w:sz w:val="20"/>
          <w:szCs w:val="20"/>
        </w:rPr>
        <w:t>ommario</w:t>
      </w:r>
      <w:r w:rsidRPr="00D0603F">
        <w:rPr>
          <w:rFonts w:ascii="Georgia" w:hAnsi="Georgia"/>
          <w:sz w:val="20"/>
          <w:szCs w:val="20"/>
        </w:rPr>
        <w:t xml:space="preserve">: </w:t>
      </w:r>
      <w:r w:rsidR="00177D7A" w:rsidRPr="00BF468B">
        <w:rPr>
          <w:rFonts w:ascii="Georgia" w:hAnsi="Georgia"/>
          <w:i/>
          <w:sz w:val="20"/>
          <w:szCs w:val="20"/>
        </w:rPr>
        <w:t>1.</w:t>
      </w:r>
      <w:r w:rsidR="00D0603F" w:rsidRPr="00BF468B">
        <w:rPr>
          <w:rFonts w:ascii="Georgia" w:hAnsi="Georgia"/>
          <w:i/>
          <w:sz w:val="20"/>
          <w:szCs w:val="20"/>
        </w:rPr>
        <w:t xml:space="preserve"> </w:t>
      </w:r>
      <w:r w:rsidR="00D0603F" w:rsidRPr="00BF468B">
        <w:rPr>
          <w:rFonts w:ascii="Georgia" w:hAnsi="Georgia"/>
          <w:i/>
          <w:sz w:val="20"/>
          <w:szCs w:val="20"/>
          <w:lang w:val="es-ES"/>
        </w:rPr>
        <w:t>¿La Constitución como tótem?</w:t>
      </w:r>
      <w:r w:rsidR="00177D7A" w:rsidRPr="00BF468B">
        <w:rPr>
          <w:rFonts w:ascii="Georgia" w:hAnsi="Georgia"/>
          <w:i/>
          <w:sz w:val="20"/>
          <w:szCs w:val="20"/>
          <w:lang w:val="es-ES"/>
        </w:rPr>
        <w:t xml:space="preserve"> </w:t>
      </w:r>
      <w:r w:rsidR="0008476F" w:rsidRPr="00BF468B">
        <w:rPr>
          <w:rFonts w:ascii="Georgia" w:hAnsi="Georgia"/>
          <w:i/>
          <w:sz w:val="20"/>
          <w:szCs w:val="20"/>
          <w:lang w:val="es-ES"/>
        </w:rPr>
        <w:t>-</w:t>
      </w:r>
      <w:r w:rsidR="00177D7A" w:rsidRPr="00BF468B">
        <w:rPr>
          <w:rFonts w:ascii="Georgia" w:hAnsi="Georgia"/>
          <w:i/>
          <w:sz w:val="20"/>
          <w:szCs w:val="20"/>
          <w:lang w:val="es-ES"/>
        </w:rPr>
        <w:t xml:space="preserve"> 2.</w:t>
      </w:r>
      <w:r w:rsidRPr="00BF468B">
        <w:rPr>
          <w:rFonts w:ascii="Georgia" w:hAnsi="Georgia"/>
          <w:i/>
          <w:sz w:val="20"/>
          <w:szCs w:val="20"/>
          <w:lang w:val="es-ES"/>
        </w:rPr>
        <w:t xml:space="preserve"> </w:t>
      </w:r>
      <w:r w:rsidR="00D0603F" w:rsidRPr="00BF468B">
        <w:rPr>
          <w:rFonts w:ascii="Georgia" w:hAnsi="Georgia"/>
          <w:i/>
          <w:sz w:val="20"/>
          <w:szCs w:val="20"/>
          <w:lang w:val="es-ES"/>
        </w:rPr>
        <w:t>La Constitución come fetiche</w:t>
      </w:r>
      <w:r w:rsidR="0008476F" w:rsidRPr="00BF468B">
        <w:rPr>
          <w:rFonts w:ascii="Georgia" w:hAnsi="Georgia"/>
          <w:i/>
          <w:sz w:val="20"/>
          <w:szCs w:val="20"/>
          <w:lang w:val="es-ES"/>
        </w:rPr>
        <w:t xml:space="preserve"> -</w:t>
      </w:r>
      <w:r w:rsidRPr="00BF468B">
        <w:rPr>
          <w:rFonts w:ascii="Georgia" w:hAnsi="Georgia"/>
          <w:i/>
          <w:sz w:val="20"/>
          <w:szCs w:val="20"/>
          <w:lang w:val="es-ES"/>
        </w:rPr>
        <w:t xml:space="preserve"> </w:t>
      </w:r>
      <w:r w:rsidR="00EB622C" w:rsidRPr="00BF468B">
        <w:rPr>
          <w:rFonts w:ascii="Georgia" w:hAnsi="Georgia"/>
          <w:i/>
          <w:sz w:val="20"/>
          <w:szCs w:val="20"/>
          <w:lang w:val="es-ES"/>
        </w:rPr>
        <w:t>3</w:t>
      </w:r>
      <w:r w:rsidRPr="00BF468B">
        <w:rPr>
          <w:rFonts w:ascii="Georgia" w:hAnsi="Georgia"/>
          <w:i/>
          <w:sz w:val="20"/>
          <w:szCs w:val="20"/>
          <w:lang w:val="es-ES"/>
        </w:rPr>
        <w:t xml:space="preserve">. </w:t>
      </w:r>
      <w:r w:rsidR="00D0603F" w:rsidRPr="00BF468B">
        <w:rPr>
          <w:rFonts w:ascii="Georgia" w:hAnsi="Georgia"/>
          <w:i/>
          <w:sz w:val="20"/>
          <w:szCs w:val="20"/>
        </w:rPr>
        <w:t>¿</w:t>
      </w:r>
      <w:proofErr w:type="spellStart"/>
      <w:r w:rsidR="00D0603F" w:rsidRPr="00BF468B">
        <w:rPr>
          <w:rFonts w:ascii="Georgia" w:hAnsi="Georgia"/>
          <w:i/>
          <w:sz w:val="20"/>
          <w:szCs w:val="20"/>
        </w:rPr>
        <w:t>Qué</w:t>
      </w:r>
      <w:proofErr w:type="spellEnd"/>
      <w:r w:rsidR="00D0603F" w:rsidRPr="00BF468B">
        <w:rPr>
          <w:rFonts w:ascii="Georgia" w:hAnsi="Georgia"/>
          <w:i/>
          <w:sz w:val="20"/>
          <w:szCs w:val="20"/>
        </w:rPr>
        <w:t xml:space="preserve"> </w:t>
      </w:r>
      <w:proofErr w:type="spellStart"/>
      <w:r w:rsidR="00D0603F" w:rsidRPr="00BF468B">
        <w:rPr>
          <w:rFonts w:ascii="Georgia" w:hAnsi="Georgia"/>
          <w:i/>
          <w:sz w:val="20"/>
          <w:szCs w:val="20"/>
        </w:rPr>
        <w:t>hacer</w:t>
      </w:r>
      <w:proofErr w:type="spellEnd"/>
      <w:r w:rsidR="00D0603F" w:rsidRPr="00BF468B">
        <w:rPr>
          <w:rFonts w:ascii="Georgia" w:hAnsi="Georgia"/>
          <w:i/>
          <w:sz w:val="20"/>
          <w:szCs w:val="20"/>
        </w:rPr>
        <w:t xml:space="preserve">? </w:t>
      </w:r>
    </w:p>
    <w:p w14:paraId="5180E41E" w14:textId="77777777" w:rsidR="000851E6" w:rsidRPr="00177D7A" w:rsidRDefault="000851E6" w:rsidP="001613BF">
      <w:pPr>
        <w:spacing w:after="0" w:line="360" w:lineRule="auto"/>
        <w:jc w:val="both"/>
        <w:rPr>
          <w:rFonts w:ascii="Georgia" w:hAnsi="Georgia"/>
          <w:b/>
          <w:sz w:val="24"/>
          <w:szCs w:val="24"/>
        </w:rPr>
      </w:pPr>
    </w:p>
    <w:p w14:paraId="58BC229F" w14:textId="77777777" w:rsidR="000851E6" w:rsidRPr="00D0603F" w:rsidRDefault="000851E6" w:rsidP="00D0603F">
      <w:pPr>
        <w:spacing w:after="0" w:line="360" w:lineRule="auto"/>
        <w:jc w:val="both"/>
        <w:rPr>
          <w:rFonts w:ascii="Georgia" w:hAnsi="Georgia"/>
          <w:b/>
          <w:sz w:val="24"/>
          <w:szCs w:val="24"/>
        </w:rPr>
      </w:pPr>
    </w:p>
    <w:p w14:paraId="448911CB" w14:textId="77777777" w:rsidR="00177D7A" w:rsidRPr="00B86DF9" w:rsidRDefault="00D0603F" w:rsidP="00D0603F">
      <w:pPr>
        <w:pStyle w:val="Paragrafoelenco"/>
        <w:numPr>
          <w:ilvl w:val="0"/>
          <w:numId w:val="9"/>
        </w:numPr>
        <w:spacing w:after="0" w:line="360" w:lineRule="auto"/>
        <w:ind w:left="0" w:firstLine="0"/>
        <w:jc w:val="both"/>
        <w:rPr>
          <w:rFonts w:ascii="Georgia" w:hAnsi="Georgia"/>
          <w:b/>
          <w:bCs/>
          <w:i/>
          <w:iCs/>
          <w:sz w:val="24"/>
          <w:szCs w:val="24"/>
        </w:rPr>
      </w:pPr>
      <w:r w:rsidRPr="00B86DF9">
        <w:rPr>
          <w:rFonts w:ascii="Georgia" w:hAnsi="Georgia"/>
          <w:i/>
          <w:sz w:val="24"/>
          <w:szCs w:val="24"/>
        </w:rPr>
        <w:t xml:space="preserve">¿La </w:t>
      </w:r>
      <w:proofErr w:type="spellStart"/>
      <w:r w:rsidRPr="00B86DF9">
        <w:rPr>
          <w:rFonts w:ascii="Georgia" w:hAnsi="Georgia"/>
          <w:i/>
          <w:sz w:val="24"/>
          <w:szCs w:val="24"/>
        </w:rPr>
        <w:t>Constitución</w:t>
      </w:r>
      <w:proofErr w:type="spellEnd"/>
      <w:r w:rsidRPr="00B86DF9">
        <w:rPr>
          <w:rFonts w:ascii="Georgia" w:hAnsi="Georgia"/>
          <w:i/>
          <w:sz w:val="24"/>
          <w:szCs w:val="24"/>
        </w:rPr>
        <w:t xml:space="preserve"> </w:t>
      </w:r>
      <w:proofErr w:type="spellStart"/>
      <w:r w:rsidRPr="00B86DF9">
        <w:rPr>
          <w:rFonts w:ascii="Georgia" w:hAnsi="Georgia"/>
          <w:i/>
          <w:sz w:val="24"/>
          <w:szCs w:val="24"/>
        </w:rPr>
        <w:t>como</w:t>
      </w:r>
      <w:proofErr w:type="spellEnd"/>
      <w:r w:rsidRPr="00B86DF9">
        <w:rPr>
          <w:rFonts w:ascii="Georgia" w:hAnsi="Georgia"/>
          <w:i/>
          <w:sz w:val="24"/>
          <w:szCs w:val="24"/>
        </w:rPr>
        <w:t xml:space="preserve"> </w:t>
      </w:r>
      <w:proofErr w:type="spellStart"/>
      <w:r w:rsidRPr="00B86DF9">
        <w:rPr>
          <w:rFonts w:ascii="Georgia" w:hAnsi="Georgia"/>
          <w:i/>
          <w:sz w:val="24"/>
          <w:szCs w:val="24"/>
        </w:rPr>
        <w:t>tótem</w:t>
      </w:r>
      <w:proofErr w:type="spellEnd"/>
      <w:r w:rsidRPr="00B86DF9">
        <w:rPr>
          <w:rFonts w:ascii="Georgia" w:hAnsi="Georgia"/>
          <w:i/>
          <w:sz w:val="24"/>
          <w:szCs w:val="24"/>
        </w:rPr>
        <w:t>?</w:t>
      </w:r>
    </w:p>
    <w:p w14:paraId="597C5F07" w14:textId="77777777" w:rsidR="00D0603F" w:rsidRPr="00D0603F" w:rsidRDefault="00D0603F" w:rsidP="00D0603F">
      <w:pPr>
        <w:pStyle w:val="Paragrafoelenco"/>
        <w:spacing w:after="0" w:line="360" w:lineRule="auto"/>
        <w:ind w:left="0"/>
        <w:jc w:val="both"/>
        <w:rPr>
          <w:rFonts w:ascii="Georgia" w:hAnsi="Georgia"/>
          <w:b/>
          <w:bCs/>
          <w:iCs/>
          <w:sz w:val="24"/>
          <w:szCs w:val="24"/>
        </w:rPr>
      </w:pPr>
    </w:p>
    <w:p w14:paraId="135677EC" w14:textId="77777777" w:rsidR="00D0603F" w:rsidRPr="00D0603F" w:rsidRDefault="00D0603F" w:rsidP="00D0603F">
      <w:pPr>
        <w:spacing w:after="0" w:line="360" w:lineRule="auto"/>
        <w:jc w:val="both"/>
        <w:rPr>
          <w:rFonts w:ascii="Georgia" w:hAnsi="Georgia"/>
          <w:sz w:val="24"/>
          <w:szCs w:val="24"/>
          <w:lang w:val="es-ES"/>
        </w:rPr>
      </w:pPr>
      <w:r w:rsidRPr="00D0603F">
        <w:rPr>
          <w:rFonts w:ascii="Georgia" w:hAnsi="Georgia"/>
          <w:sz w:val="24"/>
          <w:szCs w:val="24"/>
          <w:lang w:val="es-ES"/>
        </w:rPr>
        <w:t xml:space="preserve">El Gobierno presidido por Mariano Rajoy ha articulado su oposición a la celebración del referéndum del 1 de </w:t>
      </w:r>
      <w:proofErr w:type="gramStart"/>
      <w:r w:rsidRPr="00D0603F">
        <w:rPr>
          <w:rFonts w:ascii="Georgia" w:hAnsi="Georgia"/>
          <w:sz w:val="24"/>
          <w:szCs w:val="24"/>
          <w:lang w:val="es-ES"/>
        </w:rPr>
        <w:t>Octubre</w:t>
      </w:r>
      <w:proofErr w:type="gramEnd"/>
      <w:r w:rsidRPr="00D0603F">
        <w:rPr>
          <w:rFonts w:ascii="Georgia" w:hAnsi="Georgia"/>
          <w:sz w:val="24"/>
          <w:szCs w:val="24"/>
          <w:lang w:val="es-ES"/>
        </w:rPr>
        <w:t xml:space="preserve"> (y a la eventual declaración de independencia subsiguiente a un voto mayoritariamente favorable a la misma) en torno a la inconstitucionalidad tanto de la Ley por la que se ha convocado el mismo como la de una eventual secesión de Catalunya a resultas de la misma. Así, se sostiene que la “Ley del referéndum de autodeterminación vinculante sobre la independencia de Cataluña” </w:t>
      </w:r>
      <w:r w:rsidRPr="00E44434">
        <w:rPr>
          <w:rStyle w:val="Rimandonotaapidipagina"/>
          <w:rFonts w:ascii="Georgia" w:hAnsi="Georgia"/>
          <w:sz w:val="24"/>
          <w:szCs w:val="24"/>
        </w:rPr>
        <w:footnoteReference w:id="3"/>
      </w:r>
      <w:r w:rsidRPr="00D0603F">
        <w:rPr>
          <w:rFonts w:ascii="Georgia" w:hAnsi="Georgia"/>
          <w:sz w:val="24"/>
          <w:szCs w:val="24"/>
          <w:lang w:val="es-ES"/>
        </w:rPr>
        <w:t xml:space="preserve"> es contraria al ordenamiento constitucional español dado que la misma infringe no sólo el artículo 2 de la Constitución Española (“la indisoluble unidad de la nación española), sino también la división de competencias entre Estado y Comunidad Autónoma, en la medida en la que el Parlamento catalán se arroga una competencia que no es suya, la de convocar un referéndum.</w:t>
      </w:r>
      <w:r w:rsidRPr="00E44434">
        <w:rPr>
          <w:rStyle w:val="Rimandonotaapidipagina"/>
          <w:rFonts w:ascii="Georgia" w:hAnsi="Georgia"/>
          <w:sz w:val="24"/>
          <w:szCs w:val="24"/>
        </w:rPr>
        <w:footnoteReference w:id="4"/>
      </w:r>
      <w:r w:rsidRPr="00D0603F">
        <w:rPr>
          <w:rFonts w:ascii="Georgia" w:hAnsi="Georgia"/>
          <w:sz w:val="24"/>
          <w:szCs w:val="24"/>
          <w:lang w:val="es-ES"/>
        </w:rPr>
        <w:t xml:space="preserve"> Por tales razones, la citada ley no puede derivar </w:t>
      </w:r>
      <w:r w:rsidRPr="00D0603F">
        <w:rPr>
          <w:rFonts w:ascii="Georgia" w:hAnsi="Georgia"/>
          <w:sz w:val="24"/>
          <w:szCs w:val="24"/>
          <w:lang w:val="es-ES"/>
        </w:rPr>
        <w:lastRenderedPageBreak/>
        <w:t xml:space="preserve">su validez ni del </w:t>
      </w:r>
      <w:proofErr w:type="spellStart"/>
      <w:r w:rsidRPr="00D0603F">
        <w:rPr>
          <w:rFonts w:ascii="Georgia" w:hAnsi="Georgia"/>
          <w:sz w:val="24"/>
          <w:szCs w:val="24"/>
          <w:lang w:val="es-ES"/>
        </w:rPr>
        <w:t>Estatut</w:t>
      </w:r>
      <w:proofErr w:type="spellEnd"/>
      <w:r w:rsidRPr="00D0603F">
        <w:rPr>
          <w:rFonts w:ascii="Georgia" w:hAnsi="Georgia"/>
          <w:sz w:val="24"/>
          <w:szCs w:val="24"/>
          <w:lang w:val="es-ES"/>
        </w:rPr>
        <w:t xml:space="preserve"> </w:t>
      </w:r>
      <w:proofErr w:type="spellStart"/>
      <w:r w:rsidRPr="00D0603F">
        <w:rPr>
          <w:rFonts w:ascii="Georgia" w:hAnsi="Georgia"/>
          <w:sz w:val="24"/>
          <w:szCs w:val="24"/>
          <w:lang w:val="es-ES"/>
        </w:rPr>
        <w:t>d’Autonomia</w:t>
      </w:r>
      <w:proofErr w:type="spellEnd"/>
      <w:r w:rsidRPr="00D0603F">
        <w:rPr>
          <w:rFonts w:ascii="Georgia" w:hAnsi="Georgia"/>
          <w:sz w:val="24"/>
          <w:szCs w:val="24"/>
          <w:lang w:val="es-ES"/>
        </w:rPr>
        <w:t>, ni, aún menos, de la Constitución española. Rota la cadena de validez en el proceso de creación del derecho, la inconstitucionalidad de la citada ley acarrea la de todas las normas de rango inferior que la desarrollen, así como la de las decisiones y los actos de las autoridades públicas que se encaminen a hacerla efectiva.</w:t>
      </w:r>
      <w:r w:rsidRPr="00E44434">
        <w:rPr>
          <w:rStyle w:val="Rimandonotaapidipagina"/>
          <w:rFonts w:ascii="Georgia" w:hAnsi="Georgia"/>
          <w:sz w:val="24"/>
          <w:szCs w:val="24"/>
        </w:rPr>
        <w:footnoteReference w:id="5"/>
      </w:r>
      <w:r w:rsidRPr="00D0603F">
        <w:rPr>
          <w:rFonts w:ascii="Georgia" w:hAnsi="Georgia"/>
          <w:sz w:val="24"/>
          <w:szCs w:val="24"/>
          <w:lang w:val="es-ES"/>
        </w:rPr>
        <w:t xml:space="preserve"> </w:t>
      </w:r>
    </w:p>
    <w:p w14:paraId="77434D2E" w14:textId="77777777" w:rsidR="00D0603F" w:rsidRPr="00D0603F" w:rsidRDefault="00D0603F" w:rsidP="00D0603F">
      <w:pPr>
        <w:spacing w:after="0" w:line="360" w:lineRule="auto"/>
        <w:jc w:val="both"/>
        <w:rPr>
          <w:rFonts w:ascii="Georgia" w:hAnsi="Georgia"/>
          <w:i/>
          <w:sz w:val="24"/>
          <w:szCs w:val="24"/>
          <w:lang w:val="es-ES"/>
        </w:rPr>
      </w:pPr>
      <w:r w:rsidRPr="00D0603F">
        <w:rPr>
          <w:rFonts w:ascii="Georgia" w:hAnsi="Georgia"/>
          <w:sz w:val="24"/>
          <w:szCs w:val="24"/>
          <w:lang w:val="es-ES"/>
        </w:rPr>
        <w:t xml:space="preserve">A primera vista, la línea argumental del Gobierno español parece impecable. Hay cuando menos tres razones por las que no lo es. En primer lugar, porque dado que lo que se pone en cuestión en Catalunya no es la validez de esta o aquella norma del ordenamiento constitucional español, sino la validez y legitimidad del mismo en su conjunto, no basta con poner de relieve la inconstitucionalidad de la ley por la que se convocó el referéndum y/o las acciones de las autoridades públicas catalanas para prepararlo. La fuerza de la constitución, en tales casos, no puede derivarse de argumentos exclusivamente jurídicos, por lo que el disenso se extiende a la validez del ordenamiento en su conjunto. En tales circunstancias, como Kelsen puso de relieve, es la eficacia la que termina determinando la validez del ordenamiento en su conjunto. En segundo lugar, limitarse a resaltar la inconstitucionalidad de las acciones a través de las que se pretende romper con una práctica de obediencia al ordenamiento jurídico </w:t>
      </w:r>
      <w:r w:rsidRPr="00D0603F">
        <w:rPr>
          <w:rFonts w:ascii="Georgia" w:hAnsi="Georgia"/>
          <w:sz w:val="24"/>
          <w:szCs w:val="24"/>
          <w:lang w:val="es-ES"/>
        </w:rPr>
        <w:lastRenderedPageBreak/>
        <w:t xml:space="preserve">en su conjunto puede ser contraproducente, dado que el resultado puede ser la aceleración del proceso de erosión de la legitimidad del orden constitucional. La perspectiva sociológica abierta por el concepto de derecho defendido por </w:t>
      </w:r>
      <w:proofErr w:type="spellStart"/>
      <w:r w:rsidRPr="00D0603F">
        <w:rPr>
          <w:rFonts w:ascii="Georgia" w:hAnsi="Georgia"/>
          <w:sz w:val="24"/>
          <w:szCs w:val="24"/>
          <w:lang w:val="es-ES"/>
        </w:rPr>
        <w:t>H.L.A</w:t>
      </w:r>
      <w:proofErr w:type="spellEnd"/>
      <w:r w:rsidRPr="00D0603F">
        <w:rPr>
          <w:rFonts w:ascii="Georgia" w:hAnsi="Georgia"/>
          <w:sz w:val="24"/>
          <w:szCs w:val="24"/>
          <w:lang w:val="es-ES"/>
        </w:rPr>
        <w:t xml:space="preserve">. </w:t>
      </w:r>
      <w:proofErr w:type="spellStart"/>
      <w:r w:rsidRPr="00D0603F">
        <w:rPr>
          <w:rFonts w:ascii="Georgia" w:hAnsi="Georgia"/>
          <w:sz w:val="24"/>
          <w:szCs w:val="24"/>
          <w:lang w:val="es-ES"/>
        </w:rPr>
        <w:t>Hart</w:t>
      </w:r>
      <w:proofErr w:type="spellEnd"/>
      <w:r w:rsidRPr="00D0603F">
        <w:rPr>
          <w:rFonts w:ascii="Georgia" w:hAnsi="Georgia"/>
          <w:sz w:val="24"/>
          <w:szCs w:val="24"/>
          <w:lang w:val="es-ES"/>
        </w:rPr>
        <w:t xml:space="preserve"> nos alerta sobre los límites del derecho, en los términos desarrollados por Neil </w:t>
      </w:r>
      <w:proofErr w:type="spellStart"/>
      <w:r w:rsidRPr="00D0603F">
        <w:rPr>
          <w:rFonts w:ascii="Georgia" w:hAnsi="Georgia"/>
          <w:sz w:val="24"/>
          <w:szCs w:val="24"/>
          <w:lang w:val="es-ES"/>
        </w:rPr>
        <w:t>MacCormick</w:t>
      </w:r>
      <w:proofErr w:type="spellEnd"/>
      <w:r w:rsidRPr="00D0603F">
        <w:rPr>
          <w:rFonts w:ascii="Georgia" w:hAnsi="Georgia"/>
          <w:sz w:val="24"/>
          <w:szCs w:val="24"/>
          <w:lang w:val="es-ES"/>
        </w:rPr>
        <w:t xml:space="preserve">. Finalmente, la práctica constitucional de estos últimos diez años pone de relieve que la </w:t>
      </w:r>
      <w:r w:rsidRPr="006C7644">
        <w:rPr>
          <w:rFonts w:ascii="Georgia" w:hAnsi="Georgia"/>
          <w:sz w:val="24"/>
          <w:szCs w:val="24"/>
          <w:lang w:val="es-ES"/>
        </w:rPr>
        <w:t>“crisis catalana” ahonda la latente crisis de legitimidad de la Constitución</w:t>
      </w:r>
      <w:r w:rsidRPr="00D0603F">
        <w:rPr>
          <w:rFonts w:ascii="Georgia" w:hAnsi="Georgia"/>
          <w:sz w:val="24"/>
          <w:szCs w:val="24"/>
          <w:lang w:val="es-ES"/>
        </w:rPr>
        <w:t xml:space="preserve">, lo que hace aún menos adecuado parapetarse tras el tótem de la constitución, en lugar de articular una defensa sustentada en las razones normativas de la Constitución. </w:t>
      </w:r>
    </w:p>
    <w:p w14:paraId="6BF4E39B" w14:textId="77777777" w:rsidR="00D0603F" w:rsidRPr="00D0603F" w:rsidRDefault="00D0603F" w:rsidP="00D0603F">
      <w:pPr>
        <w:spacing w:after="0" w:line="360" w:lineRule="auto"/>
        <w:jc w:val="both"/>
        <w:rPr>
          <w:rFonts w:ascii="Georgia" w:hAnsi="Georgia"/>
          <w:sz w:val="24"/>
          <w:szCs w:val="24"/>
          <w:lang w:val="es-ES"/>
        </w:rPr>
      </w:pPr>
      <w:r w:rsidRPr="00D0603F">
        <w:rPr>
          <w:rFonts w:ascii="Georgia" w:hAnsi="Georgia"/>
          <w:sz w:val="24"/>
          <w:szCs w:val="24"/>
          <w:lang w:val="es-ES"/>
        </w:rPr>
        <w:t xml:space="preserve">1. Que la Ley del Referéndum (como muchas otras leyes anteriores con fines relacionados con el mismo) sean inconstitucionales </w:t>
      </w:r>
      <w:r w:rsidRPr="00D0603F">
        <w:rPr>
          <w:rFonts w:ascii="Georgia" w:hAnsi="Georgia"/>
          <w:i/>
          <w:sz w:val="24"/>
          <w:szCs w:val="24"/>
          <w:lang w:val="es-ES"/>
        </w:rPr>
        <w:t>desde la perspectiva del ordenamiento constitucional español</w:t>
      </w:r>
      <w:r w:rsidRPr="00D0603F">
        <w:rPr>
          <w:rFonts w:ascii="Georgia" w:hAnsi="Georgia"/>
          <w:sz w:val="24"/>
          <w:szCs w:val="24"/>
          <w:lang w:val="es-ES"/>
        </w:rPr>
        <w:t xml:space="preserve"> es difícilmente discutible (aunque, como veremos en la segunda sección, haya quienes hayan sostenido que no sólo se reconocería el llamado “derecho a decidir” en el derecho internacional público, por lo que la apertura a la normativa internacional sobre derechos fundamentales que deriva del Artículo 10.2 de la Constitución implicaría que ese derecho debería reconocerse también en el ordenamiento español). El fondo constitucional del conflicto es la puesta en cuestión de la validez y la eficacia en Catalunya del ordenamiento constitucional español </w:t>
      </w:r>
      <w:r w:rsidRPr="00D0603F">
        <w:rPr>
          <w:rFonts w:ascii="Georgia" w:hAnsi="Georgia"/>
          <w:i/>
          <w:sz w:val="24"/>
          <w:szCs w:val="24"/>
          <w:lang w:val="es-ES"/>
        </w:rPr>
        <w:t>en su conjunto</w:t>
      </w:r>
      <w:r w:rsidRPr="00D0603F">
        <w:rPr>
          <w:rFonts w:ascii="Georgia" w:hAnsi="Georgia"/>
          <w:sz w:val="24"/>
          <w:szCs w:val="24"/>
          <w:lang w:val="es-ES"/>
        </w:rPr>
        <w:t xml:space="preserve">. En tales circunstancias, limitarse a poner de relieve que tales actos no tienen encaje en la Constitución de 1978 dista de ser suficiente. Los argumentos estrictamente jurídicos son necesarios, pero manifiestamente insuficientes en los supuestos límite en los que se pone en cuestión la legitimidad del orden constitucional en su conjunto por un grupo social numeroso, que puede llegar a ser mayoritario en una parte significativa del territorio del Estado. En tales </w:t>
      </w:r>
      <w:proofErr w:type="gramStart"/>
      <w:r w:rsidRPr="00D0603F">
        <w:rPr>
          <w:rFonts w:ascii="Georgia" w:hAnsi="Georgia"/>
          <w:sz w:val="24"/>
          <w:szCs w:val="24"/>
          <w:lang w:val="es-ES"/>
        </w:rPr>
        <w:t>circunstancias,  los</w:t>
      </w:r>
      <w:proofErr w:type="gramEnd"/>
      <w:r w:rsidRPr="00D0603F">
        <w:rPr>
          <w:rFonts w:ascii="Georgia" w:hAnsi="Georgia"/>
          <w:sz w:val="24"/>
          <w:szCs w:val="24"/>
          <w:lang w:val="es-ES"/>
        </w:rPr>
        <w:t xml:space="preserve"> argumentos jurídicos se agotan en sí mismos. Quien defienda una concepción coherentemente positivista de la constitución y del derecho sólo puede limitarse a observar cómo evolucionan los acontecimientos, dado que en tales casos la validez no </w:t>
      </w:r>
      <w:r w:rsidRPr="00D0603F">
        <w:rPr>
          <w:rFonts w:ascii="Georgia" w:hAnsi="Georgia"/>
          <w:sz w:val="24"/>
          <w:szCs w:val="24"/>
          <w:lang w:val="es-ES"/>
        </w:rPr>
        <w:lastRenderedPageBreak/>
        <w:t xml:space="preserve">puede sino </w:t>
      </w:r>
      <w:r w:rsidRPr="00D0603F">
        <w:rPr>
          <w:rFonts w:ascii="Georgia" w:hAnsi="Georgia"/>
          <w:i/>
          <w:sz w:val="24"/>
          <w:szCs w:val="24"/>
          <w:lang w:val="es-ES"/>
        </w:rPr>
        <w:t>depender</w:t>
      </w:r>
      <w:r w:rsidRPr="00D0603F">
        <w:rPr>
          <w:rFonts w:ascii="Georgia" w:hAnsi="Georgia"/>
          <w:sz w:val="24"/>
          <w:szCs w:val="24"/>
          <w:lang w:val="es-ES"/>
        </w:rPr>
        <w:t xml:space="preserve"> de la eficacia. Si el intento de establecer un nuevo orden constitucional fracasa, tendrá sentido hablar (también y sobre todo desde una perspectiva jurídica) de un intento de subvertir el orden establecido. Pero si triunfa, no tendrá sentido tal caracterización</w:t>
      </w:r>
      <w:r w:rsidRPr="00D0603F">
        <w:rPr>
          <w:rFonts w:ascii="Georgia" w:hAnsi="Georgia"/>
          <w:i/>
          <w:sz w:val="24"/>
          <w:szCs w:val="24"/>
          <w:lang w:val="es-ES"/>
        </w:rPr>
        <w:t xml:space="preserve"> ni siquiera desde una perspectiva coherentemente </w:t>
      </w:r>
      <w:proofErr w:type="spellStart"/>
      <w:r w:rsidRPr="00D0603F">
        <w:rPr>
          <w:rFonts w:ascii="Georgia" w:hAnsi="Georgia"/>
          <w:i/>
          <w:sz w:val="24"/>
          <w:szCs w:val="24"/>
          <w:lang w:val="es-ES"/>
        </w:rPr>
        <w:t>posivista</w:t>
      </w:r>
      <w:proofErr w:type="spellEnd"/>
      <w:r w:rsidRPr="00D0603F">
        <w:rPr>
          <w:rFonts w:ascii="Georgia" w:hAnsi="Georgia"/>
          <w:sz w:val="24"/>
          <w:szCs w:val="24"/>
          <w:lang w:val="es-ES"/>
        </w:rPr>
        <w:t xml:space="preserve">. En los términos de Kelsen: </w:t>
      </w:r>
    </w:p>
    <w:p w14:paraId="2CCCA1ED" w14:textId="77777777" w:rsidR="00D0603F" w:rsidRPr="00D0603F" w:rsidRDefault="00D0603F" w:rsidP="00D0603F">
      <w:pPr>
        <w:spacing w:after="0" w:line="360" w:lineRule="auto"/>
        <w:jc w:val="both"/>
        <w:rPr>
          <w:rFonts w:ascii="Georgia" w:hAnsi="Georgia"/>
          <w:sz w:val="24"/>
          <w:szCs w:val="24"/>
          <w:lang w:val="es-ES"/>
        </w:rPr>
      </w:pPr>
      <w:r w:rsidRPr="00D0603F">
        <w:rPr>
          <w:rFonts w:ascii="Georgia" w:hAnsi="Georgia"/>
          <w:sz w:val="24"/>
          <w:szCs w:val="24"/>
          <w:lang w:val="es-ES"/>
        </w:rPr>
        <w:t xml:space="preserve"> “[S]i la intentona fracasara a causa de que el orden nuevo resultara ser ineficaz por no adecuarse a él las conductas de los destinatarios de las normas, entonces su actuación no se podría interpretar como un acto constituyente, sino como un delito de alta traición [Pero si  quienes pretenden subvertir el orden jurídico establecido] alcanzan el éxito, esto es, si expira el viejo orden y comienza a ser eficaz el nuevo debido a que la conducta real de los individuos (…) se adecúa a éste y no al anterior (…) entonces se comenzará a operar con el nuevo orden en su calidad de ordenamiento jurídico (…)”</w:t>
      </w:r>
      <w:r w:rsidRPr="00E44434">
        <w:rPr>
          <w:rStyle w:val="Rimandonotaapidipagina"/>
          <w:rFonts w:ascii="Georgia" w:hAnsi="Georgia"/>
          <w:sz w:val="24"/>
          <w:szCs w:val="24"/>
        </w:rPr>
        <w:footnoteReference w:id="6"/>
      </w:r>
    </w:p>
    <w:p w14:paraId="416CDB3D" w14:textId="77777777" w:rsidR="00D0603F" w:rsidRPr="00D0603F" w:rsidRDefault="00D0603F" w:rsidP="00D0603F">
      <w:pPr>
        <w:spacing w:after="0" w:line="360" w:lineRule="auto"/>
        <w:jc w:val="both"/>
        <w:rPr>
          <w:rFonts w:ascii="Georgia" w:hAnsi="Georgia"/>
          <w:sz w:val="24"/>
          <w:szCs w:val="24"/>
          <w:lang w:val="es-ES"/>
        </w:rPr>
      </w:pPr>
      <w:r w:rsidRPr="00D0603F">
        <w:rPr>
          <w:rFonts w:ascii="Georgia" w:hAnsi="Georgia"/>
          <w:sz w:val="24"/>
          <w:szCs w:val="24"/>
          <w:lang w:val="es-ES"/>
        </w:rPr>
        <w:t>La adhesión a un concepto “puro” de legalidad permite al teórico del derecho evitar las “distracciones” que resultan de los argumentos políticos y metafísicos sobre el derecho. El precio de esa “libertad” es que los argumentos jurídicos, así purificados, no pueden ni sustentar la fundación de un ordenamiento jurídico, ni servir de escudo cuando su legitimidad (y validez) sea puesta en cuestión.</w:t>
      </w:r>
    </w:p>
    <w:p w14:paraId="08237A59" w14:textId="77777777" w:rsidR="00D0603F" w:rsidRPr="00D0603F" w:rsidRDefault="00D0603F" w:rsidP="00D0603F">
      <w:pPr>
        <w:spacing w:after="0" w:line="360" w:lineRule="auto"/>
        <w:jc w:val="both"/>
        <w:rPr>
          <w:rFonts w:ascii="Georgia" w:hAnsi="Georgia"/>
          <w:sz w:val="24"/>
          <w:szCs w:val="24"/>
          <w:lang w:val="es-ES"/>
        </w:rPr>
      </w:pPr>
      <w:r w:rsidRPr="00D0603F">
        <w:rPr>
          <w:rFonts w:ascii="Georgia" w:hAnsi="Georgia"/>
          <w:sz w:val="24"/>
          <w:szCs w:val="24"/>
          <w:lang w:val="es-ES"/>
        </w:rPr>
        <w:t xml:space="preserve">2. A ello se añade que argumentar desde una perspectiva angostamente jurídica, puede ser no sólo insuficiente, sino contraproducente cuando amplios grupos sociales ponen en cuestión la validez y autoridad de las normas jurídicas (como es el caso en Catalunya). Por qué ello es así podemos observarlo si consideramos el conflicto que nos ocupa desde la perspectiva de una concepción del derecho en buena medida afín, pero distinta, de la </w:t>
      </w:r>
      <w:proofErr w:type="spellStart"/>
      <w:r w:rsidRPr="00D0603F">
        <w:rPr>
          <w:rFonts w:ascii="Georgia" w:hAnsi="Georgia"/>
          <w:sz w:val="24"/>
          <w:szCs w:val="24"/>
          <w:lang w:val="es-ES"/>
        </w:rPr>
        <w:t>kelseniana</w:t>
      </w:r>
      <w:proofErr w:type="spellEnd"/>
      <w:r w:rsidRPr="00D0603F">
        <w:rPr>
          <w:rFonts w:ascii="Georgia" w:hAnsi="Georgia"/>
          <w:sz w:val="24"/>
          <w:szCs w:val="24"/>
          <w:lang w:val="es-ES"/>
        </w:rPr>
        <w:t xml:space="preserve">, la propuesta por </w:t>
      </w:r>
      <w:proofErr w:type="spellStart"/>
      <w:r w:rsidRPr="00D0603F">
        <w:rPr>
          <w:rFonts w:ascii="Georgia" w:hAnsi="Georgia"/>
          <w:sz w:val="24"/>
          <w:szCs w:val="24"/>
          <w:lang w:val="es-ES"/>
        </w:rPr>
        <w:t>H.L.A</w:t>
      </w:r>
      <w:proofErr w:type="spellEnd"/>
      <w:r w:rsidRPr="00D0603F">
        <w:rPr>
          <w:rFonts w:ascii="Georgia" w:hAnsi="Georgia"/>
          <w:sz w:val="24"/>
          <w:szCs w:val="24"/>
          <w:lang w:val="es-ES"/>
        </w:rPr>
        <w:t xml:space="preserve"> </w:t>
      </w:r>
      <w:proofErr w:type="spellStart"/>
      <w:r w:rsidRPr="00D0603F">
        <w:rPr>
          <w:rFonts w:ascii="Georgia" w:hAnsi="Georgia"/>
          <w:sz w:val="24"/>
          <w:szCs w:val="24"/>
          <w:lang w:val="es-ES"/>
        </w:rPr>
        <w:t>Hart</w:t>
      </w:r>
      <w:proofErr w:type="spellEnd"/>
      <w:r w:rsidRPr="00D0603F">
        <w:rPr>
          <w:rFonts w:ascii="Georgia" w:hAnsi="Georgia"/>
          <w:sz w:val="24"/>
          <w:szCs w:val="24"/>
          <w:lang w:val="es-ES"/>
        </w:rPr>
        <w:t xml:space="preserve"> y desarrollada ulteriormente por Neil </w:t>
      </w:r>
      <w:proofErr w:type="spellStart"/>
      <w:r w:rsidRPr="00D0603F">
        <w:rPr>
          <w:rFonts w:ascii="Georgia" w:hAnsi="Georgia"/>
          <w:sz w:val="24"/>
          <w:szCs w:val="24"/>
          <w:lang w:val="es-ES"/>
        </w:rPr>
        <w:t>MacCormick</w:t>
      </w:r>
      <w:proofErr w:type="spellEnd"/>
      <w:r w:rsidRPr="00D0603F">
        <w:rPr>
          <w:rFonts w:ascii="Georgia" w:hAnsi="Georgia"/>
          <w:sz w:val="24"/>
          <w:szCs w:val="24"/>
          <w:lang w:val="es-ES"/>
        </w:rPr>
        <w:t xml:space="preserve">. </w:t>
      </w:r>
    </w:p>
    <w:p w14:paraId="54194AE0" w14:textId="77777777" w:rsidR="00D0603F" w:rsidRPr="00D0603F" w:rsidRDefault="00D0603F" w:rsidP="00D0603F">
      <w:pPr>
        <w:spacing w:after="0" w:line="360" w:lineRule="auto"/>
        <w:jc w:val="both"/>
        <w:rPr>
          <w:rFonts w:ascii="Georgia" w:hAnsi="Georgia"/>
          <w:sz w:val="24"/>
          <w:szCs w:val="24"/>
          <w:lang w:val="es-ES"/>
        </w:rPr>
      </w:pPr>
      <w:proofErr w:type="spellStart"/>
      <w:r w:rsidRPr="00D0603F">
        <w:rPr>
          <w:rFonts w:ascii="Georgia" w:hAnsi="Georgia"/>
          <w:sz w:val="24"/>
          <w:szCs w:val="24"/>
          <w:lang w:val="es-ES"/>
        </w:rPr>
        <w:lastRenderedPageBreak/>
        <w:t>Hart</w:t>
      </w:r>
      <w:proofErr w:type="spellEnd"/>
      <w:r w:rsidRPr="00D0603F">
        <w:rPr>
          <w:rFonts w:ascii="Georgia" w:hAnsi="Georgia"/>
          <w:sz w:val="24"/>
          <w:szCs w:val="24"/>
          <w:lang w:val="es-ES"/>
        </w:rPr>
        <w:t xml:space="preserve"> definió al derecho como la unión de normas primarias (de conducta) y normas secundarias (que regulan la producción de las normas primarias). De entre las nomas secundarias, la por él llamada norma de reconocimiento es la piedra angular sobre la que se edifica el ordenamiento como sistema, al determinar la validez de todas las restantes normas jurídicas. A diferencia de la norma fundamental </w:t>
      </w:r>
      <w:proofErr w:type="spellStart"/>
      <w:r w:rsidRPr="00D0603F">
        <w:rPr>
          <w:rFonts w:ascii="Georgia" w:hAnsi="Georgia"/>
          <w:sz w:val="24"/>
          <w:szCs w:val="24"/>
          <w:lang w:val="es-ES"/>
        </w:rPr>
        <w:t>kelseniana</w:t>
      </w:r>
      <w:proofErr w:type="spellEnd"/>
      <w:r w:rsidRPr="00D0603F">
        <w:rPr>
          <w:rFonts w:ascii="Georgia" w:hAnsi="Georgia"/>
          <w:sz w:val="24"/>
          <w:szCs w:val="24"/>
          <w:lang w:val="es-ES"/>
        </w:rPr>
        <w:t xml:space="preserve">, la norma de reconocimiento </w:t>
      </w:r>
      <w:proofErr w:type="spellStart"/>
      <w:r w:rsidRPr="00D0603F">
        <w:rPr>
          <w:rFonts w:ascii="Georgia" w:hAnsi="Georgia"/>
          <w:sz w:val="24"/>
          <w:szCs w:val="24"/>
          <w:lang w:val="es-ES"/>
        </w:rPr>
        <w:t>hartiana</w:t>
      </w:r>
      <w:proofErr w:type="spellEnd"/>
      <w:r w:rsidRPr="00D0603F">
        <w:rPr>
          <w:rFonts w:ascii="Georgia" w:hAnsi="Georgia"/>
          <w:sz w:val="24"/>
          <w:szCs w:val="24"/>
          <w:lang w:val="es-ES"/>
        </w:rPr>
        <w:t xml:space="preserve"> tiene un carácter marcadamente sociológico. En los términos del propio </w:t>
      </w:r>
      <w:proofErr w:type="spellStart"/>
      <w:r w:rsidRPr="00D0603F">
        <w:rPr>
          <w:rFonts w:ascii="Georgia" w:hAnsi="Georgia"/>
          <w:sz w:val="24"/>
          <w:szCs w:val="24"/>
          <w:lang w:val="es-ES"/>
        </w:rPr>
        <w:t>Hart</w:t>
      </w:r>
      <w:proofErr w:type="spellEnd"/>
      <w:r w:rsidRPr="00D0603F">
        <w:rPr>
          <w:rFonts w:ascii="Georgia" w:hAnsi="Georgia"/>
          <w:sz w:val="24"/>
          <w:szCs w:val="24"/>
          <w:lang w:val="es-ES"/>
        </w:rPr>
        <w:t>:</w:t>
      </w:r>
    </w:p>
    <w:p w14:paraId="695A4319" w14:textId="77777777" w:rsidR="00D0603F" w:rsidRPr="00D0603F" w:rsidRDefault="00D0603F" w:rsidP="00D0603F">
      <w:pPr>
        <w:spacing w:after="0" w:line="360" w:lineRule="auto"/>
        <w:jc w:val="both"/>
        <w:rPr>
          <w:rFonts w:ascii="Georgia" w:hAnsi="Georgia"/>
          <w:sz w:val="24"/>
          <w:szCs w:val="24"/>
          <w:lang w:val="es-ES"/>
        </w:rPr>
      </w:pPr>
      <w:r w:rsidRPr="00D0603F">
        <w:rPr>
          <w:rFonts w:ascii="Georgia" w:hAnsi="Georgia"/>
          <w:sz w:val="24"/>
          <w:szCs w:val="24"/>
          <w:lang w:val="es-ES"/>
        </w:rPr>
        <w:t xml:space="preserve">“Hay, pues, dos condiciones necesarias y suficientes mínimas para la existencia de un sistema jurídico. Por un lado, las reglas de conducta válidas según el criterio de validez último del sistema tienen que ser generalmente obedecidas, </w:t>
      </w:r>
      <w:proofErr w:type="gramStart"/>
      <w:r w:rsidRPr="00D0603F">
        <w:rPr>
          <w:rFonts w:ascii="Georgia" w:hAnsi="Georgia"/>
          <w:sz w:val="24"/>
          <w:szCs w:val="24"/>
          <w:lang w:val="es-ES"/>
        </w:rPr>
        <w:t>y</w:t>
      </w:r>
      <w:proofErr w:type="gramEnd"/>
      <w:r w:rsidRPr="00D0603F">
        <w:rPr>
          <w:rFonts w:ascii="Georgia" w:hAnsi="Georgia"/>
          <w:sz w:val="24"/>
          <w:szCs w:val="24"/>
          <w:lang w:val="es-ES"/>
        </w:rPr>
        <w:t xml:space="preserve"> por otra parte, sus reglas de reconocimiento que especifican los criterios de validez jurídica, y sus reglas de cambio y de adjudicación, tienen que ser efectivamente aceptadas por sus funcionarios como pautas o modelos públicos y comunes de conducta oficial. La primera condición es la única que necesitan satisfacer los ciudadanos particulares: ellos pueden obedecer cada uno ‘por su cuenta’ y </w:t>
      </w:r>
      <w:proofErr w:type="gramStart"/>
      <w:r w:rsidRPr="00D0603F">
        <w:rPr>
          <w:rFonts w:ascii="Georgia" w:hAnsi="Georgia"/>
          <w:sz w:val="24"/>
          <w:szCs w:val="24"/>
          <w:lang w:val="es-ES"/>
        </w:rPr>
        <w:t>por  cualquier</w:t>
      </w:r>
      <w:proofErr w:type="gramEnd"/>
      <w:r w:rsidRPr="00D0603F">
        <w:rPr>
          <w:rFonts w:ascii="Georgia" w:hAnsi="Georgia"/>
          <w:sz w:val="24"/>
          <w:szCs w:val="24"/>
          <w:lang w:val="es-ES"/>
        </w:rPr>
        <w:t xml:space="preserve"> motivo; si bien en una sociedad saludable las más de las veces aceptarán realmente estas reglas como pautas o criterios comunes de conducta, y reconocerán la obligación de obedecerlas, o incluso harán remontar esta obligación a una obligación más general de respetar la constitución. La segunda condición tiene que ser satisfecha por los funcionarios del sistema. Ellos tienen que ver en las reglas pautas o criterios comunes de conducta oficial, y apreciar críticamente como fallas las desviaciones propias y ajenas”</w:t>
      </w:r>
      <w:r w:rsidRPr="00E44434">
        <w:rPr>
          <w:rStyle w:val="Rimandonotaapidipagina"/>
          <w:rFonts w:ascii="Georgia" w:hAnsi="Georgia"/>
          <w:sz w:val="24"/>
          <w:szCs w:val="24"/>
        </w:rPr>
        <w:footnoteReference w:id="7"/>
      </w:r>
    </w:p>
    <w:p w14:paraId="46CCFA1C" w14:textId="77777777" w:rsidR="00D0603F" w:rsidRPr="00D0603F" w:rsidRDefault="00D0603F" w:rsidP="00D0603F">
      <w:pPr>
        <w:spacing w:after="0" w:line="360" w:lineRule="auto"/>
        <w:jc w:val="both"/>
        <w:rPr>
          <w:rFonts w:ascii="Georgia" w:hAnsi="Georgia"/>
          <w:sz w:val="24"/>
          <w:szCs w:val="24"/>
          <w:lang w:val="es-ES"/>
        </w:rPr>
      </w:pPr>
      <w:r w:rsidRPr="00D0603F">
        <w:rPr>
          <w:rFonts w:ascii="Georgia" w:hAnsi="Georgia"/>
          <w:sz w:val="24"/>
          <w:szCs w:val="24"/>
          <w:lang w:val="es-ES"/>
        </w:rPr>
        <w:t xml:space="preserve">El hábito de obediencia hacia el ordenamiento constitucional español de una buena parte de los ciudadanos muestra claros signos de quiebra. Los indicios son múltiples y reiterados en el tiempo. En tal sentido, el hecho de que más de dos millones de residentes en Catalunya acudiesen a votar el 1 de Octubre no permite determinar si existe o no una mayoría robusta a </w:t>
      </w:r>
      <w:r w:rsidRPr="00D0603F">
        <w:rPr>
          <w:rFonts w:ascii="Georgia" w:hAnsi="Georgia"/>
          <w:sz w:val="24"/>
          <w:szCs w:val="24"/>
          <w:lang w:val="es-ES"/>
        </w:rPr>
        <w:lastRenderedPageBreak/>
        <w:t xml:space="preserve">favor de la independencia, pero sí que el hábito de obediencia al ordenamiento constitucional español no pasa por sus mejores momentos, a la vista de que tales ciudadanos (incluso quienes votaron en contra) no se mostraron receptivos ni a las condenas del gobierno, ni tampoco al uso de la fuerza por parte de las fuerzas de seguridad (en qué medida la falta de inteligencia política del gobierno español el 1 de Octubre ha contribuido a sembrar la semilla de un hábito de obediencia a otro ordenamiento constitucional es una cuestión que excede del ámbito de este trabajo). A ello se une que el hábito de obediencia de los “funcionarios” encargados de aplicar el derecho dista de ser robustísimo. Lo es, al menos por el momento, entre los jueces. Pero no entre las fuerzas de seguridad del estado. En este sentido, no ha de tenerse en cuenta tan sólo la actitud de las fuerzas regionales y locales (los </w:t>
      </w:r>
      <w:proofErr w:type="spellStart"/>
      <w:r w:rsidRPr="00D0603F">
        <w:rPr>
          <w:rFonts w:ascii="Georgia" w:hAnsi="Georgia"/>
          <w:sz w:val="24"/>
          <w:szCs w:val="24"/>
          <w:lang w:val="es-ES"/>
        </w:rPr>
        <w:t>Mossos</w:t>
      </w:r>
      <w:proofErr w:type="spellEnd"/>
      <w:r w:rsidRPr="00D0603F">
        <w:rPr>
          <w:rFonts w:ascii="Georgia" w:hAnsi="Georgia"/>
          <w:sz w:val="24"/>
          <w:szCs w:val="24"/>
          <w:lang w:val="es-ES"/>
        </w:rPr>
        <w:t xml:space="preserve"> </w:t>
      </w:r>
      <w:proofErr w:type="spellStart"/>
      <w:r w:rsidRPr="00D0603F">
        <w:rPr>
          <w:rFonts w:ascii="Georgia" w:hAnsi="Georgia"/>
          <w:sz w:val="24"/>
          <w:szCs w:val="24"/>
          <w:lang w:val="es-ES"/>
        </w:rPr>
        <w:t>d’Esquadra</w:t>
      </w:r>
      <w:proofErr w:type="spellEnd"/>
      <w:r w:rsidRPr="00D0603F">
        <w:rPr>
          <w:rFonts w:ascii="Georgia" w:hAnsi="Georgia"/>
          <w:sz w:val="24"/>
          <w:szCs w:val="24"/>
          <w:lang w:val="es-ES"/>
        </w:rPr>
        <w:t xml:space="preserve"> y las policías locales), sino también la de las propias fuerzas estatales, </w:t>
      </w:r>
      <w:proofErr w:type="gramStart"/>
      <w:r w:rsidRPr="00D0603F">
        <w:rPr>
          <w:rFonts w:ascii="Georgia" w:hAnsi="Georgia"/>
          <w:sz w:val="24"/>
          <w:szCs w:val="24"/>
          <w:lang w:val="es-ES"/>
        </w:rPr>
        <w:t>que</w:t>
      </w:r>
      <w:proofErr w:type="gramEnd"/>
      <w:r w:rsidRPr="00D0603F">
        <w:rPr>
          <w:rFonts w:ascii="Georgia" w:hAnsi="Georgia"/>
          <w:sz w:val="24"/>
          <w:szCs w:val="24"/>
          <w:lang w:val="es-ES"/>
        </w:rPr>
        <w:t xml:space="preserve"> si bien actuaron en aplicación de las órdenes judiciales, y siguieron de forma disciplinada las órdenes de sus mandos, han dado muestras de un amplio malestar.</w:t>
      </w:r>
      <w:r w:rsidRPr="00E44434">
        <w:rPr>
          <w:rStyle w:val="Rimandonotaapidipagina"/>
          <w:rFonts w:ascii="Georgia" w:hAnsi="Georgia"/>
          <w:sz w:val="24"/>
          <w:szCs w:val="24"/>
        </w:rPr>
        <w:footnoteReference w:id="8"/>
      </w:r>
      <w:r w:rsidRPr="00D0603F">
        <w:rPr>
          <w:rFonts w:ascii="Georgia" w:hAnsi="Georgia"/>
          <w:sz w:val="24"/>
          <w:szCs w:val="24"/>
          <w:lang w:val="es-ES"/>
        </w:rPr>
        <w:t xml:space="preserve"> </w:t>
      </w:r>
    </w:p>
    <w:p w14:paraId="40A3F0D1" w14:textId="77777777" w:rsidR="00D0603F" w:rsidRPr="00D0603F" w:rsidRDefault="00D0603F" w:rsidP="00D0603F">
      <w:pPr>
        <w:spacing w:after="0" w:line="360" w:lineRule="auto"/>
        <w:jc w:val="both"/>
        <w:rPr>
          <w:rFonts w:ascii="Georgia" w:hAnsi="Georgia"/>
          <w:i/>
          <w:sz w:val="24"/>
          <w:szCs w:val="24"/>
          <w:lang w:val="es-ES"/>
        </w:rPr>
      </w:pPr>
      <w:r w:rsidRPr="00D0603F">
        <w:rPr>
          <w:rFonts w:ascii="Georgia" w:hAnsi="Georgia"/>
          <w:sz w:val="24"/>
          <w:szCs w:val="24"/>
          <w:lang w:val="es-ES"/>
        </w:rPr>
        <w:t xml:space="preserve">En tales circunstancias es conveniente tener presente los límites del derecho como medio de integración social, como nos recordó reiteradamente Neil </w:t>
      </w:r>
      <w:proofErr w:type="spellStart"/>
      <w:r w:rsidRPr="00D0603F">
        <w:rPr>
          <w:rFonts w:ascii="Georgia" w:hAnsi="Georgia"/>
          <w:sz w:val="24"/>
          <w:szCs w:val="24"/>
          <w:lang w:val="es-ES"/>
        </w:rPr>
        <w:t>MacCormick</w:t>
      </w:r>
      <w:proofErr w:type="spellEnd"/>
      <w:r w:rsidRPr="00D0603F">
        <w:rPr>
          <w:rFonts w:ascii="Georgia" w:hAnsi="Georgia"/>
          <w:sz w:val="24"/>
          <w:szCs w:val="24"/>
          <w:lang w:val="es-ES"/>
        </w:rPr>
        <w:t>.</w:t>
      </w:r>
      <w:r w:rsidRPr="00E44434">
        <w:rPr>
          <w:rStyle w:val="Rimandonotaapidipagina"/>
          <w:rFonts w:ascii="Georgia" w:hAnsi="Georgia"/>
          <w:sz w:val="24"/>
          <w:szCs w:val="24"/>
        </w:rPr>
        <w:footnoteReference w:id="9"/>
      </w:r>
      <w:r w:rsidRPr="00D0603F">
        <w:rPr>
          <w:rFonts w:ascii="Georgia" w:hAnsi="Georgia"/>
          <w:sz w:val="24"/>
          <w:szCs w:val="24"/>
          <w:lang w:val="es-ES"/>
        </w:rPr>
        <w:t xml:space="preserve"> Cuando la autoridad de un ordenamiento constitucional está en cuestión, parapetarse detrás de la legalidad formal, o pretender imponer la misma valiéndose de la coerción sustentada en el derecho, dista de ser la estrategia más idónea para reestablecer la autoridad del ordenamiento. </w:t>
      </w:r>
      <w:proofErr w:type="gramStart"/>
      <w:r w:rsidRPr="00D0603F">
        <w:rPr>
          <w:rFonts w:ascii="Georgia" w:hAnsi="Georgia"/>
          <w:sz w:val="24"/>
          <w:szCs w:val="24"/>
          <w:lang w:val="es-ES"/>
        </w:rPr>
        <w:t>Antes</w:t>
      </w:r>
      <w:proofErr w:type="gramEnd"/>
      <w:r w:rsidRPr="00D0603F">
        <w:rPr>
          <w:rFonts w:ascii="Georgia" w:hAnsi="Georgia"/>
          <w:sz w:val="24"/>
          <w:szCs w:val="24"/>
          <w:lang w:val="es-ES"/>
        </w:rPr>
        <w:t xml:space="preserve"> al contrario, se corre el </w:t>
      </w:r>
      <w:r w:rsidRPr="00D0603F">
        <w:rPr>
          <w:rFonts w:ascii="Georgia" w:hAnsi="Georgia"/>
          <w:sz w:val="24"/>
          <w:szCs w:val="24"/>
          <w:lang w:val="es-ES"/>
        </w:rPr>
        <w:lastRenderedPageBreak/>
        <w:t xml:space="preserve">riesgo de agotar rápidamente las reservas de legitimidad democrática. De que el derecho, desnudo de legitimidad, quede reducido a pura fuerza. </w:t>
      </w:r>
    </w:p>
    <w:p w14:paraId="6C5A6A4C" w14:textId="77777777" w:rsidR="00D0603F" w:rsidRPr="00D0603F" w:rsidRDefault="00D0603F" w:rsidP="00D0603F">
      <w:pPr>
        <w:spacing w:after="0" w:line="360" w:lineRule="auto"/>
        <w:jc w:val="both"/>
        <w:rPr>
          <w:rFonts w:ascii="Georgia" w:hAnsi="Georgia"/>
          <w:sz w:val="24"/>
          <w:szCs w:val="24"/>
          <w:lang w:val="es-ES"/>
        </w:rPr>
      </w:pPr>
      <w:r w:rsidRPr="00D0603F">
        <w:rPr>
          <w:rFonts w:ascii="Georgia" w:hAnsi="Georgia"/>
          <w:sz w:val="24"/>
          <w:szCs w:val="24"/>
          <w:lang w:val="es-ES"/>
        </w:rPr>
        <w:t xml:space="preserve">3. A ello se une que la posibilidad de defender la validez del ordenamiento constitucional sobre la base de argumentos “puramente legales” ha sido profundamente socavada por la práctica constitucional reciente. La solidez de la apelación a la integridad constitucional hubiese exigido rechazar contundentemente la forma (y a mi juicio, el contenido) de la llamada “reforma exprés” del artículo 135 de la Constitución Española. Mal se explica que se rasguen las vestiduras constitucionales quienes aplaudieron o miraron para el otro lado cuando la constitución se modificó “in a </w:t>
      </w:r>
      <w:proofErr w:type="spellStart"/>
      <w:r w:rsidRPr="00D0603F">
        <w:rPr>
          <w:rFonts w:ascii="Georgia" w:hAnsi="Georgia"/>
          <w:sz w:val="24"/>
          <w:szCs w:val="24"/>
          <w:lang w:val="es-ES"/>
        </w:rPr>
        <w:t>fit</w:t>
      </w:r>
      <w:proofErr w:type="spellEnd"/>
      <w:r w:rsidRPr="00D0603F">
        <w:rPr>
          <w:rFonts w:ascii="Georgia" w:hAnsi="Georgia"/>
          <w:sz w:val="24"/>
          <w:szCs w:val="24"/>
          <w:lang w:val="es-ES"/>
        </w:rPr>
        <w:t xml:space="preserve"> of </w:t>
      </w:r>
      <w:proofErr w:type="spellStart"/>
      <w:r w:rsidRPr="00D0603F">
        <w:rPr>
          <w:rFonts w:ascii="Georgia" w:hAnsi="Georgia"/>
          <w:sz w:val="24"/>
          <w:szCs w:val="24"/>
          <w:lang w:val="es-ES"/>
        </w:rPr>
        <w:t>absent-mindness</w:t>
      </w:r>
      <w:proofErr w:type="spellEnd"/>
      <w:r w:rsidRPr="00D0603F">
        <w:rPr>
          <w:rFonts w:ascii="Georgia" w:hAnsi="Georgia"/>
          <w:sz w:val="24"/>
          <w:szCs w:val="24"/>
          <w:lang w:val="es-ES"/>
        </w:rPr>
        <w:t>”, en “dos tardes” del mes de agosto, mediante un procedimiento cuya idoneidad es quizás discutible incluso si se tratase de aprobar un decreto ministerial de cierta enjundia y trascendencia, y con mayor razón, una ley ordinaria.</w:t>
      </w:r>
      <w:r w:rsidRPr="00E44434">
        <w:rPr>
          <w:rStyle w:val="Rimandonotaapidipagina"/>
          <w:rFonts w:ascii="Georgia" w:hAnsi="Georgia"/>
          <w:sz w:val="24"/>
          <w:szCs w:val="24"/>
        </w:rPr>
        <w:footnoteReference w:id="10"/>
      </w:r>
      <w:r w:rsidRPr="00D0603F">
        <w:rPr>
          <w:rFonts w:ascii="Georgia" w:hAnsi="Georgia"/>
          <w:sz w:val="24"/>
          <w:szCs w:val="24"/>
          <w:lang w:val="es-ES"/>
        </w:rPr>
        <w:t xml:space="preserve"> De igual forma, el uso del decreto ley en las legislaturas que comenzaron en 2008 y en 2011 es difícilmente compatible con el respeto del principio de legalidad. </w:t>
      </w:r>
      <w:r w:rsidRPr="00E44434">
        <w:rPr>
          <w:rStyle w:val="Rimandonotaapidipagina"/>
          <w:rFonts w:ascii="Georgia" w:hAnsi="Georgia"/>
          <w:sz w:val="24"/>
          <w:szCs w:val="24"/>
        </w:rPr>
        <w:footnoteReference w:id="11"/>
      </w:r>
      <w:r w:rsidRPr="00D0603F">
        <w:rPr>
          <w:rFonts w:ascii="Georgia" w:hAnsi="Georgia"/>
          <w:sz w:val="24"/>
          <w:szCs w:val="24"/>
          <w:lang w:val="es-ES"/>
        </w:rPr>
        <w:t xml:space="preserve"> La proliferación de argumentos alambicados y barrocos es quizá </w:t>
      </w:r>
      <w:proofErr w:type="gramStart"/>
      <w:r w:rsidRPr="00D0603F">
        <w:rPr>
          <w:rFonts w:ascii="Georgia" w:hAnsi="Georgia"/>
          <w:sz w:val="24"/>
          <w:szCs w:val="24"/>
          <w:lang w:val="es-ES"/>
        </w:rPr>
        <w:t>demostrativo</w:t>
      </w:r>
      <w:proofErr w:type="gramEnd"/>
      <w:r w:rsidRPr="00D0603F">
        <w:rPr>
          <w:rFonts w:ascii="Georgia" w:hAnsi="Georgia"/>
          <w:sz w:val="24"/>
          <w:szCs w:val="24"/>
          <w:lang w:val="es-ES"/>
        </w:rPr>
        <w:t xml:space="preserve"> de que quienes se erigen en adalides del Estado de Derecho no pasan de leguleyos, y nos condenan a un Estado leguleyo (cosa bien distinta, sino antitética, del </w:t>
      </w:r>
      <w:r w:rsidRPr="00D0603F">
        <w:rPr>
          <w:rFonts w:ascii="Georgia" w:hAnsi="Georgia"/>
          <w:sz w:val="24"/>
          <w:szCs w:val="24"/>
          <w:lang w:val="es-ES"/>
        </w:rPr>
        <w:lastRenderedPageBreak/>
        <w:t>Estado de Derecho)</w:t>
      </w:r>
      <w:r w:rsidRPr="00E44434">
        <w:rPr>
          <w:rStyle w:val="Rimandonotaapidipagina"/>
          <w:rFonts w:ascii="Georgia" w:hAnsi="Georgia"/>
          <w:sz w:val="24"/>
          <w:szCs w:val="24"/>
        </w:rPr>
        <w:footnoteReference w:id="12"/>
      </w:r>
      <w:r w:rsidR="00F20FB4" w:rsidRPr="00D0603F">
        <w:rPr>
          <w:rFonts w:ascii="Georgia" w:hAnsi="Georgia"/>
          <w:sz w:val="24"/>
          <w:szCs w:val="24"/>
          <w:lang w:val="es-ES"/>
        </w:rPr>
        <w:t>.</w:t>
      </w:r>
      <w:r w:rsidRPr="00D0603F">
        <w:rPr>
          <w:rFonts w:ascii="Georgia" w:hAnsi="Georgia"/>
          <w:sz w:val="24"/>
          <w:szCs w:val="24"/>
          <w:lang w:val="es-ES"/>
        </w:rPr>
        <w:t xml:space="preserve"> A un Derecho que de tal sólo tiene la cáscara, pero no el contenido.</w:t>
      </w:r>
    </w:p>
    <w:p w14:paraId="63ACE6C9" w14:textId="77777777" w:rsidR="00D0603F" w:rsidRDefault="00D0603F" w:rsidP="00D0603F">
      <w:pPr>
        <w:spacing w:after="0" w:line="360" w:lineRule="auto"/>
        <w:jc w:val="both"/>
        <w:rPr>
          <w:rFonts w:ascii="Georgia" w:hAnsi="Georgia"/>
          <w:sz w:val="24"/>
          <w:szCs w:val="24"/>
          <w:lang w:val="es-ES"/>
        </w:rPr>
      </w:pPr>
      <w:r w:rsidRPr="00D0603F">
        <w:rPr>
          <w:rFonts w:ascii="Georgia" w:hAnsi="Georgia"/>
          <w:sz w:val="24"/>
          <w:szCs w:val="24"/>
          <w:lang w:val="es-ES"/>
        </w:rPr>
        <w:t>Dejando de lado de nuevo las valoraciones políticas, lo que todo ello pone de relieve es que la “cuestión catalana” es no sólo un conflicto con unas características y dinámicas propias, sino también un síntoma de una crisis estructural del sistema político y constitucional español.</w:t>
      </w:r>
      <w:r w:rsidRPr="00E44434">
        <w:rPr>
          <w:rStyle w:val="Rimandonotaapidipagina"/>
          <w:rFonts w:ascii="Georgia" w:hAnsi="Georgia"/>
          <w:sz w:val="24"/>
          <w:szCs w:val="24"/>
        </w:rPr>
        <w:footnoteReference w:id="13"/>
      </w:r>
      <w:r w:rsidRPr="00D0603F">
        <w:rPr>
          <w:rFonts w:ascii="Georgia" w:hAnsi="Georgia"/>
          <w:sz w:val="24"/>
          <w:szCs w:val="24"/>
          <w:lang w:val="es-ES"/>
        </w:rPr>
        <w:t xml:space="preserve">  Crisis que es en parte la inevitable consecuencia de una actitud reverencial hacia la Constitución (típica de las democracias jóvenes, máxime si moderadamente exitosas) que obstaculizó durante años su reforma, pero también en buena parte fruto de la mutación constitucional experimentada por la propia Unión Europea.</w:t>
      </w:r>
      <w:r w:rsidRPr="00E44434">
        <w:rPr>
          <w:rStyle w:val="Rimandonotaapidipagina"/>
          <w:rFonts w:ascii="Georgia" w:hAnsi="Georgia"/>
          <w:sz w:val="24"/>
          <w:szCs w:val="24"/>
        </w:rPr>
        <w:footnoteReference w:id="14"/>
      </w:r>
      <w:r w:rsidRPr="00D0603F">
        <w:rPr>
          <w:rFonts w:ascii="Georgia" w:hAnsi="Georgia"/>
          <w:sz w:val="24"/>
          <w:szCs w:val="24"/>
          <w:lang w:val="es-ES"/>
        </w:rPr>
        <w:t xml:space="preserve"> Esta crisis hubiese acabado manifestándose con independencia de la cuestión catalana. Tiempo y ocasiones hubo para reformar la Constitución. </w:t>
      </w:r>
      <w:r w:rsidRPr="00E44434">
        <w:rPr>
          <w:rStyle w:val="Rimandonotaapidipagina"/>
          <w:rFonts w:ascii="Georgia" w:hAnsi="Georgia"/>
          <w:sz w:val="24"/>
          <w:szCs w:val="24"/>
        </w:rPr>
        <w:footnoteReference w:id="15"/>
      </w:r>
      <w:r w:rsidRPr="00D0603F">
        <w:rPr>
          <w:rFonts w:ascii="Georgia" w:hAnsi="Georgia"/>
          <w:sz w:val="24"/>
          <w:szCs w:val="24"/>
          <w:lang w:val="es-ES"/>
        </w:rPr>
        <w:t xml:space="preserve"> Quienes se negaron a ello son responsables materiales de que la fuerza de la Constitución, y de los argumentos derivados de la misma, sean crecientemente limitados. </w:t>
      </w:r>
    </w:p>
    <w:p w14:paraId="7B1E8C8D" w14:textId="77777777" w:rsidR="00552315" w:rsidRPr="00D0603F" w:rsidRDefault="00552315" w:rsidP="00D0603F">
      <w:pPr>
        <w:spacing w:after="0" w:line="360" w:lineRule="auto"/>
        <w:jc w:val="both"/>
        <w:rPr>
          <w:rFonts w:ascii="Georgia" w:hAnsi="Georgia"/>
          <w:sz w:val="24"/>
          <w:szCs w:val="24"/>
          <w:lang w:val="es-ES"/>
        </w:rPr>
      </w:pPr>
    </w:p>
    <w:p w14:paraId="5E02EDC3" w14:textId="77777777" w:rsidR="00D0603F" w:rsidRPr="00552315" w:rsidRDefault="00D0603F" w:rsidP="00552315">
      <w:pPr>
        <w:pStyle w:val="Paragrafoelenco"/>
        <w:numPr>
          <w:ilvl w:val="0"/>
          <w:numId w:val="9"/>
        </w:numPr>
        <w:spacing w:after="0" w:line="360" w:lineRule="auto"/>
        <w:ind w:left="357" w:hanging="357"/>
        <w:jc w:val="both"/>
        <w:rPr>
          <w:rFonts w:ascii="Georgia" w:hAnsi="Georgia"/>
          <w:i/>
          <w:sz w:val="24"/>
          <w:szCs w:val="24"/>
          <w:lang w:val="es-ES"/>
        </w:rPr>
      </w:pPr>
      <w:r w:rsidRPr="00552315">
        <w:rPr>
          <w:rFonts w:ascii="Georgia" w:hAnsi="Georgia"/>
          <w:i/>
          <w:sz w:val="24"/>
          <w:szCs w:val="24"/>
          <w:lang w:val="es-ES"/>
        </w:rPr>
        <w:t>La Constitución como fetiche</w:t>
      </w:r>
    </w:p>
    <w:p w14:paraId="31684B73" w14:textId="77777777" w:rsidR="00552315" w:rsidRPr="00552315" w:rsidRDefault="00552315" w:rsidP="00552315">
      <w:pPr>
        <w:pStyle w:val="Paragrafoelenco"/>
        <w:spacing w:after="0" w:line="360" w:lineRule="auto"/>
        <w:ind w:left="717"/>
        <w:jc w:val="both"/>
        <w:rPr>
          <w:rFonts w:ascii="Georgia" w:hAnsi="Georgia"/>
          <w:i/>
          <w:sz w:val="24"/>
          <w:szCs w:val="24"/>
          <w:lang w:val="es-ES"/>
        </w:rPr>
      </w:pPr>
    </w:p>
    <w:p w14:paraId="09234D0D" w14:textId="77777777" w:rsidR="00D0603F" w:rsidRPr="00D0603F" w:rsidRDefault="00D0603F" w:rsidP="00D0603F">
      <w:pPr>
        <w:spacing w:after="0" w:line="360" w:lineRule="auto"/>
        <w:jc w:val="both"/>
        <w:rPr>
          <w:rFonts w:ascii="Georgia" w:hAnsi="Georgia"/>
          <w:sz w:val="24"/>
          <w:szCs w:val="24"/>
          <w:lang w:val="es-ES"/>
        </w:rPr>
      </w:pPr>
      <w:r w:rsidRPr="00D0603F">
        <w:rPr>
          <w:rFonts w:ascii="Georgia" w:hAnsi="Georgia"/>
          <w:sz w:val="24"/>
          <w:szCs w:val="24"/>
          <w:lang w:val="es-ES"/>
        </w:rPr>
        <w:t xml:space="preserve">Los argumentos en los que el gobierno de la Generalitat, y la mayoría parlamentaria que lo respalda, sustentan la legitimidad de la ley de Referéndum son esencialmente dos. Según el primero, más ornamental que </w:t>
      </w:r>
      <w:proofErr w:type="gramStart"/>
      <w:r w:rsidRPr="00D0603F">
        <w:rPr>
          <w:rFonts w:ascii="Georgia" w:hAnsi="Georgia"/>
          <w:sz w:val="24"/>
          <w:szCs w:val="24"/>
          <w:lang w:val="es-ES"/>
        </w:rPr>
        <w:t>sustantivo,  la</w:t>
      </w:r>
      <w:proofErr w:type="gramEnd"/>
      <w:r w:rsidRPr="00D0603F">
        <w:rPr>
          <w:rFonts w:ascii="Georgia" w:hAnsi="Georgia"/>
          <w:sz w:val="24"/>
          <w:szCs w:val="24"/>
          <w:lang w:val="es-ES"/>
        </w:rPr>
        <w:t xml:space="preserve"> apertura a la normativa internacional en materia de protección de derechos humanos contenida en el Artículo 10.2 implicaría </w:t>
      </w:r>
      <w:r w:rsidRPr="00D0603F">
        <w:rPr>
          <w:rFonts w:ascii="Georgia" w:hAnsi="Georgia"/>
          <w:sz w:val="24"/>
          <w:szCs w:val="24"/>
          <w:lang w:val="es-ES"/>
        </w:rPr>
        <w:lastRenderedPageBreak/>
        <w:t xml:space="preserve">que el llamado “derecho a decidir” sería parte del ordenamiento constitucional español. El segundo y fundamental parte de la constatación de que las elecciones autonómicas de 2015 habrían constituido un momento de ruptura constitucional. El resultado de las mismas implicaría un mandato a la nueva mayoría para—en los términos del preámbulo de la ley de referéndum—“culminar </w:t>
      </w:r>
      <w:r w:rsidRPr="00D0603F">
        <w:rPr>
          <w:rFonts w:ascii="Georgia" w:hAnsi="Georgia"/>
          <w:sz w:val="24"/>
          <w:szCs w:val="24"/>
          <w:lang w:val="es-ES" w:eastAsia="es-ES"/>
        </w:rPr>
        <w:t>el</w:t>
      </w:r>
      <w:r w:rsidRPr="00D0603F">
        <w:rPr>
          <w:rFonts w:ascii="Georgia" w:hAnsi="Georgia"/>
          <w:sz w:val="24"/>
          <w:szCs w:val="24"/>
          <w:lang w:val="es-ES"/>
        </w:rPr>
        <w:t xml:space="preserve"> </w:t>
      </w:r>
      <w:r w:rsidRPr="00D0603F">
        <w:rPr>
          <w:rFonts w:ascii="Georgia" w:hAnsi="Georgia"/>
          <w:sz w:val="24"/>
          <w:szCs w:val="24"/>
          <w:lang w:val="es-ES" w:eastAsia="es-ES"/>
        </w:rPr>
        <w:t xml:space="preserve">proceso </w:t>
      </w:r>
      <w:r w:rsidRPr="00D0603F">
        <w:rPr>
          <w:rFonts w:ascii="Georgia" w:hAnsi="Georgia"/>
          <w:sz w:val="24"/>
          <w:szCs w:val="24"/>
          <w:lang w:val="es-ES"/>
        </w:rPr>
        <w:t xml:space="preserve">[de secesión del Estado Español] </w:t>
      </w:r>
      <w:r w:rsidRPr="00D0603F">
        <w:rPr>
          <w:rFonts w:ascii="Georgia" w:hAnsi="Georgia"/>
          <w:sz w:val="24"/>
          <w:szCs w:val="24"/>
          <w:lang w:val="es-ES" w:eastAsia="es-ES"/>
        </w:rPr>
        <w:t>con la convocatoria del referéndum de autodeterminación</w:t>
      </w:r>
      <w:r w:rsidRPr="00D0603F">
        <w:rPr>
          <w:rFonts w:ascii="Georgia" w:hAnsi="Georgia"/>
          <w:sz w:val="24"/>
          <w:szCs w:val="24"/>
          <w:lang w:val="es-ES"/>
        </w:rPr>
        <w:t>”, un proceso en el que “c</w:t>
      </w:r>
      <w:r w:rsidRPr="00D0603F">
        <w:rPr>
          <w:rFonts w:ascii="Georgia" w:hAnsi="Georgia"/>
          <w:sz w:val="24"/>
          <w:szCs w:val="24"/>
          <w:lang w:val="es-ES" w:eastAsia="es-ES"/>
        </w:rPr>
        <w:t>onfluyen la legitimidad histórica y la</w:t>
      </w:r>
      <w:r w:rsidRPr="00D0603F">
        <w:rPr>
          <w:rFonts w:ascii="Georgia" w:hAnsi="Georgia"/>
          <w:sz w:val="24"/>
          <w:szCs w:val="24"/>
          <w:lang w:val="es-ES"/>
        </w:rPr>
        <w:t xml:space="preserve"> </w:t>
      </w:r>
      <w:r w:rsidRPr="00D0603F">
        <w:rPr>
          <w:rFonts w:ascii="Georgia" w:hAnsi="Georgia"/>
          <w:sz w:val="24"/>
          <w:szCs w:val="24"/>
          <w:lang w:val="es-ES" w:eastAsia="es-ES"/>
        </w:rPr>
        <w:t>tradición jurídica e institucional del pueblo catalán –solo interrumpida a lo largo de los siglos por la fuerza de</w:t>
      </w:r>
      <w:r w:rsidRPr="00D0603F">
        <w:rPr>
          <w:rFonts w:ascii="Georgia" w:hAnsi="Georgia"/>
          <w:sz w:val="24"/>
          <w:szCs w:val="24"/>
          <w:lang w:val="es-ES"/>
        </w:rPr>
        <w:t xml:space="preserve"> </w:t>
      </w:r>
      <w:r w:rsidRPr="00D0603F">
        <w:rPr>
          <w:rFonts w:ascii="Georgia" w:hAnsi="Georgia"/>
          <w:sz w:val="24"/>
          <w:szCs w:val="24"/>
          <w:lang w:val="es-ES" w:eastAsia="es-ES"/>
        </w:rPr>
        <w:t>las armas</w:t>
      </w:r>
      <w:r w:rsidRPr="00D0603F">
        <w:rPr>
          <w:rFonts w:ascii="Georgia" w:hAnsi="Georgia"/>
          <w:sz w:val="24"/>
          <w:szCs w:val="24"/>
          <w:lang w:val="es-ES"/>
        </w:rPr>
        <w:t xml:space="preserve">”. </w:t>
      </w:r>
    </w:p>
    <w:p w14:paraId="2A4FB022" w14:textId="77777777" w:rsidR="00D0603F" w:rsidRPr="00D0603F" w:rsidRDefault="00D0603F" w:rsidP="00D0603F">
      <w:pPr>
        <w:spacing w:after="0" w:line="360" w:lineRule="auto"/>
        <w:jc w:val="both"/>
        <w:rPr>
          <w:rFonts w:ascii="Georgia" w:hAnsi="Georgia"/>
          <w:sz w:val="24"/>
          <w:szCs w:val="24"/>
          <w:lang w:val="es-ES"/>
        </w:rPr>
      </w:pPr>
      <w:r w:rsidRPr="00D0603F">
        <w:rPr>
          <w:rFonts w:ascii="Georgia" w:hAnsi="Georgia"/>
          <w:sz w:val="24"/>
          <w:szCs w:val="24"/>
          <w:lang w:val="es-ES"/>
        </w:rPr>
        <w:t xml:space="preserve">El primer argumento no sólo es manifiestamente endeble (tanto en lo que concierne al perfil concreto del llamado “derecho a decidir” en derecho internacional, como a la interpretación del Artículo 10.2 CE) sino, y esto es decisivo, escasamente coherente con el segundo. Si la ley de referéndum comporta “un acto de soberanía”, o lo que es lo mismo, un acto de ruptura con el ordenamiento constitucional español, no tiene mucho sentido (jurídico o constitucional) que los redactores de la misma hayan dedicado su esfuerzo a explicar cuál sea el contenido del derecho constitucional español. </w:t>
      </w:r>
    </w:p>
    <w:p w14:paraId="4E24DBF9" w14:textId="77777777" w:rsidR="0015508B" w:rsidRDefault="00D0603F" w:rsidP="00D0603F">
      <w:pPr>
        <w:spacing w:after="0" w:line="360" w:lineRule="auto"/>
        <w:jc w:val="both"/>
        <w:rPr>
          <w:rFonts w:ascii="Georgia" w:hAnsi="Georgia"/>
          <w:sz w:val="24"/>
          <w:szCs w:val="24"/>
          <w:lang w:val="es-ES"/>
        </w:rPr>
      </w:pPr>
      <w:r w:rsidRPr="00D0603F">
        <w:rPr>
          <w:rFonts w:ascii="Georgia" w:hAnsi="Georgia"/>
          <w:sz w:val="24"/>
          <w:szCs w:val="24"/>
          <w:lang w:val="es-ES"/>
        </w:rPr>
        <w:t xml:space="preserve">Mediante el segundo argumento, el “derecho a decidir” se convierte en el perno normativo sobre el que se construye un nuevo ordenamiento, un ordenamiento radicalmente independiente, soberano, del ordenamiento español. Pero si se rompe con la Constitución Española en nombre de la soberanía democrática, esa ruptura no puede implicar una ruptura con el ideal regulador de Estado Democrático y Social de Derecho, sino que, </w:t>
      </w:r>
      <w:proofErr w:type="gramStart"/>
      <w:r w:rsidRPr="00D0603F">
        <w:rPr>
          <w:rFonts w:ascii="Georgia" w:hAnsi="Georgia"/>
          <w:sz w:val="24"/>
          <w:szCs w:val="24"/>
          <w:lang w:val="es-ES"/>
        </w:rPr>
        <w:t>antes</w:t>
      </w:r>
      <w:proofErr w:type="gramEnd"/>
      <w:r w:rsidRPr="00D0603F">
        <w:rPr>
          <w:rFonts w:ascii="Georgia" w:hAnsi="Georgia"/>
          <w:sz w:val="24"/>
          <w:szCs w:val="24"/>
          <w:lang w:val="es-ES"/>
        </w:rPr>
        <w:t xml:space="preserve"> al contrario, la legitimidad de la ruptura depende de forma determinante de que el que se pretende nuevo centro de poder ejerza el mismo de acuerdo con la gramática propia de la democracia. </w:t>
      </w:r>
      <w:proofErr w:type="gramStart"/>
      <w:r w:rsidRPr="00D0603F">
        <w:rPr>
          <w:rFonts w:ascii="Georgia" w:hAnsi="Georgia"/>
          <w:sz w:val="24"/>
          <w:szCs w:val="24"/>
          <w:lang w:val="es-ES"/>
        </w:rPr>
        <w:t>O</w:t>
      </w:r>
      <w:proofErr w:type="gramEnd"/>
      <w:r w:rsidRPr="00D0603F">
        <w:rPr>
          <w:rFonts w:ascii="Georgia" w:hAnsi="Georgia"/>
          <w:sz w:val="24"/>
          <w:szCs w:val="24"/>
          <w:lang w:val="es-ES"/>
        </w:rPr>
        <w:t xml:space="preserve"> dicho de otro modo, el Parlamento catalán puede pretender que la ley de referéndum anticipa una ruptura que hace absurdo enjuiciar la propia ley mediante referencia a la Constitución Española, pero no puede </w:t>
      </w:r>
      <w:r w:rsidRPr="00D0603F">
        <w:rPr>
          <w:rFonts w:ascii="Georgia" w:hAnsi="Georgia"/>
          <w:sz w:val="24"/>
          <w:szCs w:val="24"/>
          <w:lang w:val="es-ES"/>
        </w:rPr>
        <w:lastRenderedPageBreak/>
        <w:t xml:space="preserve">simultáneamente escapar al control normativo del ideal de Estado Democrático y Social de Derecho. Desde esta última perspectiva, y no sólo desde la perspectiva de la constitución española, la ley de referéndum es un cúmulo de despropósitos. Sería irónico, si no fuese trágico, que el procedimiento de aprobación de la misma reprodujera en buena medida el propio de la “reforma constitucional exprés” del artículo 135 CE. Lo dicho respecto a la misma es aquí también aplicable. A ello se une, como ha sido ya puesto de relieve, que es escasamente juicioso considerar que la mayoría simple de los votos emitidos sea suficiente para declarar la independencia (Artículo 4.4 de la ley), que el voto se produzca menos de un mes después de la aprobación de la ley (Artículo 9.1 de la ley) y que la estructura institucional de organización y de garantías del voto deba constituirse, en buena medida, crearse en ese reducidísimo plazo de tiempo. Reproduce también los peores hábitos del legislador estatal el hecho de que la ley prevea su entrada en vigor inmediata. De la colosal improvisación da cuenta que el paso previo a una ruptura constitucional se dé declarando que seguirán vigentes por el momento, y en su integridad, el conjunto de las normas que lo eran hasta entonces, incluidas las normas fundamentales del derecho de la Unión Europea y la propia Constitución Española. A ello se une el carácter impresionista e improvisado con el que el Gobierno catalán ha desarrollado y aplicado la Ley. Me interesa ahora destacar como tras ello subyace una concepción absolutamente semántica de la constitución, no ya española, sino catalana </w:t>
      </w:r>
      <w:r w:rsidRPr="00D0603F">
        <w:rPr>
          <w:rFonts w:ascii="Georgia" w:hAnsi="Georgia"/>
          <w:i/>
          <w:sz w:val="24"/>
          <w:szCs w:val="24"/>
          <w:lang w:val="es-ES"/>
        </w:rPr>
        <w:t>in fieri</w:t>
      </w:r>
      <w:r w:rsidRPr="00D0603F">
        <w:rPr>
          <w:rFonts w:ascii="Georgia" w:hAnsi="Georgia"/>
          <w:sz w:val="24"/>
          <w:szCs w:val="24"/>
          <w:lang w:val="es-ES"/>
        </w:rPr>
        <w:t>. De este modo, si la argumentación del Gobierno español se parapeta tras la constitución como tótem, el gobierno catalán hace de la constitución un mero fetiche.</w:t>
      </w:r>
    </w:p>
    <w:p w14:paraId="7717AE34" w14:textId="77777777" w:rsidR="0015508B" w:rsidRDefault="0015508B" w:rsidP="00D0603F">
      <w:pPr>
        <w:spacing w:after="0" w:line="360" w:lineRule="auto"/>
        <w:jc w:val="both"/>
        <w:rPr>
          <w:rFonts w:ascii="Georgia" w:hAnsi="Georgia"/>
          <w:sz w:val="24"/>
          <w:szCs w:val="24"/>
          <w:lang w:val="es-ES"/>
        </w:rPr>
      </w:pPr>
    </w:p>
    <w:p w14:paraId="6282FD6B" w14:textId="77777777" w:rsidR="0015508B" w:rsidRPr="0015508B" w:rsidRDefault="0015508B" w:rsidP="00D0603F">
      <w:pPr>
        <w:spacing w:after="0" w:line="360" w:lineRule="auto"/>
        <w:jc w:val="both"/>
        <w:rPr>
          <w:rFonts w:ascii="Georgia" w:hAnsi="Georgia"/>
          <w:sz w:val="24"/>
          <w:szCs w:val="24"/>
          <w:lang w:val="es-ES"/>
        </w:rPr>
      </w:pPr>
    </w:p>
    <w:p w14:paraId="5640EDE0" w14:textId="77777777" w:rsidR="00D0603F" w:rsidRDefault="00B86DF9" w:rsidP="00D0603F">
      <w:pPr>
        <w:spacing w:after="0" w:line="360" w:lineRule="auto"/>
        <w:jc w:val="both"/>
        <w:rPr>
          <w:rFonts w:ascii="Georgia" w:hAnsi="Georgia"/>
          <w:i/>
          <w:sz w:val="24"/>
          <w:szCs w:val="24"/>
          <w:lang w:val="es-ES"/>
        </w:rPr>
      </w:pPr>
      <w:r>
        <w:rPr>
          <w:rFonts w:ascii="Georgia" w:hAnsi="Georgia"/>
          <w:i/>
          <w:sz w:val="24"/>
          <w:szCs w:val="24"/>
          <w:lang w:val="es-ES"/>
        </w:rPr>
        <w:t>3</w:t>
      </w:r>
      <w:r w:rsidR="00D0603F" w:rsidRPr="00EE45BD">
        <w:rPr>
          <w:rFonts w:ascii="Georgia" w:hAnsi="Georgia"/>
          <w:i/>
          <w:sz w:val="24"/>
          <w:szCs w:val="24"/>
          <w:lang w:val="es-ES"/>
        </w:rPr>
        <w:t>. ¿Qué hacer?</w:t>
      </w:r>
    </w:p>
    <w:p w14:paraId="13F29BD2" w14:textId="77777777" w:rsidR="00EE45BD" w:rsidRPr="00EE45BD" w:rsidRDefault="00EE45BD" w:rsidP="00D0603F">
      <w:pPr>
        <w:spacing w:after="0" w:line="360" w:lineRule="auto"/>
        <w:jc w:val="both"/>
        <w:rPr>
          <w:rFonts w:ascii="Georgia" w:hAnsi="Georgia"/>
          <w:i/>
          <w:sz w:val="24"/>
          <w:szCs w:val="24"/>
          <w:lang w:val="es-ES"/>
        </w:rPr>
      </w:pPr>
    </w:p>
    <w:p w14:paraId="5D507AEA" w14:textId="77777777" w:rsidR="00D0603F" w:rsidRPr="00D0603F" w:rsidRDefault="00D0603F" w:rsidP="00D0603F">
      <w:pPr>
        <w:spacing w:after="0" w:line="360" w:lineRule="auto"/>
        <w:jc w:val="both"/>
        <w:rPr>
          <w:rFonts w:ascii="Georgia" w:hAnsi="Georgia"/>
          <w:sz w:val="24"/>
          <w:szCs w:val="24"/>
          <w:lang w:val="es-ES"/>
        </w:rPr>
      </w:pPr>
      <w:r w:rsidRPr="00D0603F">
        <w:rPr>
          <w:rFonts w:ascii="Georgia" w:hAnsi="Georgia"/>
          <w:sz w:val="24"/>
          <w:szCs w:val="24"/>
          <w:lang w:val="es-ES"/>
        </w:rPr>
        <w:t xml:space="preserve">Con independencia de la idoneidad en abstracto de un referéndum pactado, llegados a este punto sólo una consulta popular puede dar paso a </w:t>
      </w:r>
      <w:r w:rsidRPr="00D0603F">
        <w:rPr>
          <w:rFonts w:ascii="Georgia" w:hAnsi="Georgia"/>
          <w:sz w:val="24"/>
          <w:szCs w:val="24"/>
          <w:lang w:val="es-ES"/>
        </w:rPr>
        <w:lastRenderedPageBreak/>
        <w:t>un marco político estable en España (y en Catalunya).</w:t>
      </w:r>
      <w:r w:rsidRPr="00D0603F">
        <w:rPr>
          <w:rStyle w:val="Rimandonotaapidipagina"/>
          <w:rFonts w:ascii="Georgia" w:hAnsi="Georgia"/>
          <w:sz w:val="24"/>
          <w:szCs w:val="24"/>
          <w:lang w:val="es-ES"/>
        </w:rPr>
        <w:t xml:space="preserve"> </w:t>
      </w:r>
      <w:r w:rsidRPr="00E44434">
        <w:rPr>
          <w:rStyle w:val="Rimandonotaapidipagina"/>
          <w:rFonts w:ascii="Georgia" w:hAnsi="Georgia"/>
          <w:sz w:val="24"/>
          <w:szCs w:val="24"/>
        </w:rPr>
        <w:footnoteReference w:id="16"/>
      </w:r>
      <w:r w:rsidRPr="00D0603F">
        <w:rPr>
          <w:rFonts w:ascii="Georgia" w:hAnsi="Georgia"/>
          <w:sz w:val="24"/>
          <w:szCs w:val="24"/>
          <w:lang w:val="es-ES"/>
        </w:rPr>
        <w:t xml:space="preserve"> Y ello porque la cadena de decisiones y no decisiones de los últimos años ha generado dinámicas de división y de conflicto que no pueden superarse de otro modo. Sin la claridad que se deriva del referéndum, la espada de Damocles de la ilegitimidad radical penderá sobre la solución que se dé al conflicto, sea cual sea la misma. El peligro para la estabilidad política derivaría de </w:t>
      </w:r>
      <w:proofErr w:type="gramStart"/>
      <w:r w:rsidRPr="00D0603F">
        <w:rPr>
          <w:rFonts w:ascii="Georgia" w:hAnsi="Georgia"/>
          <w:sz w:val="24"/>
          <w:szCs w:val="24"/>
          <w:lang w:val="es-ES"/>
        </w:rPr>
        <w:t>que</w:t>
      </w:r>
      <w:proofErr w:type="gramEnd"/>
      <w:r w:rsidRPr="00D0603F">
        <w:rPr>
          <w:rFonts w:ascii="Georgia" w:hAnsi="Georgia"/>
          <w:sz w:val="24"/>
          <w:szCs w:val="24"/>
          <w:lang w:val="es-ES"/>
        </w:rPr>
        <w:t xml:space="preserve"> no habiéndose celebrado el referéndum, no podría establecerse a ciencia cierta de qué lado está la mayoría, lo que haría plausible que todos reclamasen representarla. Si los líderes políticos nacionales y regionales pactasen una reforma amplia del </w:t>
      </w:r>
      <w:proofErr w:type="spellStart"/>
      <w:r w:rsidRPr="00D0603F">
        <w:rPr>
          <w:rFonts w:ascii="Georgia" w:hAnsi="Georgia"/>
          <w:sz w:val="24"/>
          <w:szCs w:val="24"/>
          <w:lang w:val="es-ES"/>
        </w:rPr>
        <w:t>Estatut</w:t>
      </w:r>
      <w:proofErr w:type="spellEnd"/>
      <w:r w:rsidRPr="00D0603F">
        <w:rPr>
          <w:rFonts w:ascii="Georgia" w:hAnsi="Georgia"/>
          <w:sz w:val="24"/>
          <w:szCs w:val="24"/>
          <w:lang w:val="es-ES"/>
        </w:rPr>
        <w:t xml:space="preserve">, los descontentos atacarían el acuerdo en nombre del carácter presuntamente mayoritario de quienes hubiesen favorecido la independencia de Catalunya; al tiempo que se alzarían muchas voces que denunciarían lo acordado como una rendición a una presunta minoría independentista. SI por el contrario se acordase la independencia de Catalunya, o la misma se impusiese de forma unilateral, habría quien, en ambos estados, esgrimiese la existencia de una presunta mayoría en contra de la misma. En tales circunstancias, ambas partes podrían sostener, con un mínimo de plausibilidad, que la razón está de su parte, y que lo acordado es una solución </w:t>
      </w:r>
      <w:proofErr w:type="spellStart"/>
      <w:r w:rsidRPr="00D0603F">
        <w:rPr>
          <w:rFonts w:ascii="Georgia" w:hAnsi="Georgia"/>
          <w:sz w:val="24"/>
          <w:szCs w:val="24"/>
          <w:lang w:val="es-ES"/>
        </w:rPr>
        <w:t>espúrea</w:t>
      </w:r>
      <w:proofErr w:type="spellEnd"/>
      <w:r w:rsidRPr="00D0603F">
        <w:rPr>
          <w:rFonts w:ascii="Georgia" w:hAnsi="Georgia"/>
          <w:sz w:val="24"/>
          <w:szCs w:val="24"/>
          <w:lang w:val="es-ES"/>
        </w:rPr>
        <w:t xml:space="preserve">, que “traiciona” la “genuina” voluntad de los ciudadanos. En tales circunstancias, sólo el voto de los ciudadanos puede restablecer la certidumbre política cortando el nudo gordiano de la incertidumbre. El referéndum puede y debe ser la ocasión para sacar la discusión del binario en los que hemos permitido caiga con una larga serie de decisiones, </w:t>
      </w:r>
      <w:proofErr w:type="gramStart"/>
      <w:r w:rsidRPr="00D0603F">
        <w:rPr>
          <w:rFonts w:ascii="Georgia" w:hAnsi="Georgia"/>
          <w:sz w:val="24"/>
          <w:szCs w:val="24"/>
          <w:lang w:val="es-ES"/>
        </w:rPr>
        <w:t>y</w:t>
      </w:r>
      <w:proofErr w:type="gramEnd"/>
      <w:r w:rsidRPr="00D0603F">
        <w:rPr>
          <w:rFonts w:ascii="Georgia" w:hAnsi="Georgia"/>
          <w:sz w:val="24"/>
          <w:szCs w:val="24"/>
          <w:lang w:val="es-ES"/>
        </w:rPr>
        <w:t xml:space="preserve"> sobre todo, de no decisiones y omisiones.</w:t>
      </w:r>
    </w:p>
    <w:p w14:paraId="7388429D" w14:textId="77777777" w:rsidR="00D0603F" w:rsidRPr="00D0603F" w:rsidRDefault="00D0603F" w:rsidP="00D0603F">
      <w:pPr>
        <w:spacing w:after="0" w:line="360" w:lineRule="auto"/>
        <w:jc w:val="both"/>
        <w:rPr>
          <w:rFonts w:ascii="Georgia" w:hAnsi="Georgia"/>
          <w:i/>
          <w:sz w:val="24"/>
          <w:szCs w:val="24"/>
          <w:lang w:val="es-ES"/>
        </w:rPr>
      </w:pPr>
      <w:r w:rsidRPr="00D0603F">
        <w:rPr>
          <w:rFonts w:ascii="Georgia" w:hAnsi="Georgia"/>
          <w:sz w:val="24"/>
          <w:szCs w:val="24"/>
          <w:lang w:val="es-ES"/>
        </w:rPr>
        <w:t>Para ello, es necesario que tomemos conciencia de que la crisis catalana es sólo el más agudo de los síntomas de la crisis de la constitución (</w:t>
      </w:r>
      <w:proofErr w:type="gramStart"/>
      <w:r w:rsidRPr="00D0603F">
        <w:rPr>
          <w:rFonts w:ascii="Georgia" w:hAnsi="Georgia"/>
          <w:sz w:val="24"/>
          <w:szCs w:val="24"/>
          <w:lang w:val="es-ES"/>
        </w:rPr>
        <w:t>y</w:t>
      </w:r>
      <w:proofErr w:type="gramEnd"/>
      <w:r w:rsidRPr="00D0603F">
        <w:rPr>
          <w:rFonts w:ascii="Georgia" w:hAnsi="Georgia"/>
          <w:sz w:val="24"/>
          <w:szCs w:val="24"/>
          <w:lang w:val="es-ES"/>
        </w:rPr>
        <w:t xml:space="preserve"> por ende) del Estado español. Y que tanto la articulación territorial del Estado (¡que no es tan sólo un problema catalán o vasco!), como la integración </w:t>
      </w:r>
      <w:r w:rsidRPr="00D0603F">
        <w:rPr>
          <w:rFonts w:ascii="Georgia" w:hAnsi="Georgia"/>
          <w:sz w:val="24"/>
          <w:szCs w:val="24"/>
          <w:lang w:val="es-ES"/>
        </w:rPr>
        <w:lastRenderedPageBreak/>
        <w:t xml:space="preserve">social y económica (a la vista de que hace años que las políticas públicas, lejos de remover los obstáculos que se impiden o dificultan la plenitud de la libertad y la igualdad entre ciudadanos, los fomentan), como la articulación de las relaciones entre España y la Unión Europea requieren una reforma en profundidad de la Constitución. Es tiempo de que los ciudadanos se (re)apropien de </w:t>
      </w:r>
      <w:proofErr w:type="spellStart"/>
      <w:r w:rsidRPr="00D0603F">
        <w:rPr>
          <w:rFonts w:ascii="Georgia" w:hAnsi="Georgia"/>
          <w:sz w:val="24"/>
          <w:szCs w:val="24"/>
          <w:lang w:val="es-ES"/>
        </w:rPr>
        <w:t>a</w:t>
      </w:r>
      <w:proofErr w:type="spellEnd"/>
      <w:r w:rsidRPr="00D0603F">
        <w:rPr>
          <w:rFonts w:ascii="Georgia" w:hAnsi="Georgia"/>
          <w:sz w:val="24"/>
          <w:szCs w:val="24"/>
          <w:lang w:val="es-ES"/>
        </w:rPr>
        <w:t xml:space="preserve"> misma, tras discutirla y tomar conciencia tanto de sus límites como de sus logros. Ni tótem ni fetiche, sino constitución democrática, </w:t>
      </w:r>
      <w:proofErr w:type="gramStart"/>
      <w:r w:rsidRPr="00D0603F">
        <w:rPr>
          <w:rFonts w:ascii="Georgia" w:hAnsi="Georgia"/>
          <w:sz w:val="24"/>
          <w:szCs w:val="24"/>
          <w:lang w:val="es-ES"/>
        </w:rPr>
        <w:t>y</w:t>
      </w:r>
      <w:proofErr w:type="gramEnd"/>
      <w:r w:rsidRPr="00D0603F">
        <w:rPr>
          <w:rFonts w:ascii="Georgia" w:hAnsi="Georgia"/>
          <w:sz w:val="24"/>
          <w:szCs w:val="24"/>
          <w:lang w:val="es-ES"/>
        </w:rPr>
        <w:t xml:space="preserve"> por tanto, viva. </w:t>
      </w:r>
    </w:p>
    <w:p w14:paraId="4D70788C" w14:textId="77777777" w:rsidR="00D0603F" w:rsidRPr="00D0603F" w:rsidRDefault="00D0603F" w:rsidP="00D0603F">
      <w:pPr>
        <w:spacing w:after="0" w:line="360" w:lineRule="auto"/>
        <w:jc w:val="both"/>
        <w:rPr>
          <w:rFonts w:ascii="Georgia" w:hAnsi="Georgia"/>
          <w:sz w:val="24"/>
          <w:szCs w:val="24"/>
          <w:lang w:val="es-ES"/>
        </w:rPr>
      </w:pPr>
    </w:p>
    <w:p w14:paraId="6ECD61E8" w14:textId="77777777" w:rsidR="000851E6" w:rsidRPr="00D0603F" w:rsidRDefault="000851E6" w:rsidP="00D0603F">
      <w:pPr>
        <w:spacing w:after="0" w:line="360" w:lineRule="auto"/>
        <w:jc w:val="both"/>
        <w:rPr>
          <w:rFonts w:ascii="Georgia" w:hAnsi="Georgia"/>
          <w:sz w:val="24"/>
          <w:szCs w:val="24"/>
          <w:lang w:val="es-ES"/>
        </w:rPr>
      </w:pPr>
    </w:p>
    <w:sectPr w:rsidR="000851E6" w:rsidRPr="00D0603F" w:rsidSect="00CC535A">
      <w:headerReference w:type="even" r:id="rId9"/>
      <w:headerReference w:type="default" r:id="rId10"/>
      <w:footerReference w:type="even" r:id="rId11"/>
      <w:footerReference w:type="default" r:id="rId12"/>
      <w:pgSz w:w="11906" w:h="16838"/>
      <w:pgMar w:top="2268" w:right="1985" w:bottom="1701" w:left="1985" w:header="709" w:footer="709" w:gutter="0"/>
      <w:pgNumType w:start="2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F728E" w14:textId="77777777" w:rsidR="009B6920" w:rsidRDefault="009B6920" w:rsidP="001D2956">
      <w:pPr>
        <w:spacing w:after="0" w:line="240" w:lineRule="auto"/>
      </w:pPr>
      <w:r>
        <w:separator/>
      </w:r>
    </w:p>
  </w:endnote>
  <w:endnote w:type="continuationSeparator" w:id="0">
    <w:p w14:paraId="362723A1" w14:textId="77777777" w:rsidR="009B6920" w:rsidRDefault="009B6920" w:rsidP="001D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AED86" w14:textId="77777777" w:rsidR="00CC535A" w:rsidRDefault="00CC535A" w:rsidP="00F73390">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40</w:t>
    </w:r>
    <w:r>
      <w:rPr>
        <w:rStyle w:val="Numeropagina"/>
      </w:rPr>
      <w:fldChar w:fldCharType="end"/>
    </w:r>
  </w:p>
  <w:p w14:paraId="06970713" w14:textId="77777777" w:rsidR="00CC535A" w:rsidRDefault="00CC535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29F5" w14:textId="77777777" w:rsidR="00CC535A" w:rsidRDefault="00CC535A" w:rsidP="00F73390">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41</w:t>
    </w:r>
    <w:r>
      <w:rPr>
        <w:rStyle w:val="Numeropagina"/>
      </w:rPr>
      <w:fldChar w:fldCharType="end"/>
    </w:r>
  </w:p>
  <w:p w14:paraId="4FD5680E" w14:textId="77777777" w:rsidR="00B04C26" w:rsidRDefault="00B04C26">
    <w:pPr>
      <w:pStyle w:val="Pidipagina"/>
      <w:jc w:val="center"/>
    </w:pPr>
  </w:p>
  <w:p w14:paraId="4905C8F0" w14:textId="77777777" w:rsidR="00B04C26" w:rsidRDefault="00B04C2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E242" w14:textId="77777777" w:rsidR="009B6920" w:rsidRDefault="009B6920" w:rsidP="001D2956">
      <w:pPr>
        <w:spacing w:after="0" w:line="240" w:lineRule="auto"/>
      </w:pPr>
      <w:r>
        <w:separator/>
      </w:r>
    </w:p>
  </w:footnote>
  <w:footnote w:type="continuationSeparator" w:id="0">
    <w:p w14:paraId="2B3F2DFD" w14:textId="77777777" w:rsidR="009B6920" w:rsidRDefault="009B6920" w:rsidP="001D2956">
      <w:pPr>
        <w:spacing w:after="0" w:line="240" w:lineRule="auto"/>
      </w:pPr>
      <w:r>
        <w:continuationSeparator/>
      </w:r>
    </w:p>
  </w:footnote>
  <w:footnote w:id="1">
    <w:p w14:paraId="49B8EDEB" w14:textId="77777777" w:rsidR="000851E6" w:rsidRPr="00BF468B" w:rsidRDefault="000851E6" w:rsidP="00BF468B">
      <w:pPr>
        <w:pStyle w:val="Titolo2"/>
        <w:numPr>
          <w:ilvl w:val="1"/>
          <w:numId w:val="5"/>
        </w:numPr>
        <w:tabs>
          <w:tab w:val="left" w:pos="0"/>
        </w:tabs>
        <w:spacing w:line="360" w:lineRule="auto"/>
        <w:jc w:val="both"/>
        <w:rPr>
          <w:rFonts w:ascii="Georgia" w:hAnsi="Georgia"/>
          <w:b w:val="0"/>
          <w:sz w:val="20"/>
          <w:szCs w:val="20"/>
          <w:lang w:val="es-ES"/>
        </w:rPr>
      </w:pPr>
      <w:r w:rsidRPr="00381656">
        <w:rPr>
          <w:rStyle w:val="Rimandonotaapidipagina"/>
          <w:rFonts w:ascii="Georgia" w:hAnsi="Georgia"/>
          <w:sz w:val="20"/>
          <w:szCs w:val="20"/>
        </w:rPr>
        <w:sym w:font="Symbol" w:char="F02A"/>
      </w:r>
      <w:r w:rsidRPr="00381656">
        <w:rPr>
          <w:rFonts w:ascii="Georgia" w:hAnsi="Georgia"/>
          <w:sz w:val="20"/>
          <w:szCs w:val="20"/>
        </w:rPr>
        <w:t xml:space="preserve"> </w:t>
      </w:r>
      <w:r w:rsidR="00552315" w:rsidRPr="00552315">
        <w:rPr>
          <w:rFonts w:ascii="Georgia" w:hAnsi="Georgia"/>
          <w:b w:val="0"/>
          <w:sz w:val="20"/>
          <w:szCs w:val="20"/>
          <w:lang w:val="es-ES"/>
        </w:rPr>
        <w:t xml:space="preserve">Profesor Contratado Doctor Permanente a la Universidad de </w:t>
      </w:r>
      <w:proofErr w:type="spellStart"/>
      <w:r w:rsidR="00552315" w:rsidRPr="00552315">
        <w:rPr>
          <w:rFonts w:ascii="Georgia" w:hAnsi="Georgia"/>
          <w:b w:val="0"/>
          <w:sz w:val="20"/>
          <w:szCs w:val="20"/>
          <w:lang w:val="es-ES"/>
        </w:rPr>
        <w:t>Léon</w:t>
      </w:r>
      <w:proofErr w:type="spellEnd"/>
      <w:r w:rsidR="00552315" w:rsidRPr="00552315">
        <w:rPr>
          <w:rFonts w:ascii="Georgia" w:hAnsi="Georgia"/>
          <w:b w:val="0"/>
          <w:sz w:val="20"/>
          <w:szCs w:val="20"/>
          <w:lang w:val="es-ES"/>
        </w:rPr>
        <w:t xml:space="preserve">, </w:t>
      </w:r>
      <w:proofErr w:type="spellStart"/>
      <w:r w:rsidR="00552315" w:rsidRPr="00552315">
        <w:rPr>
          <w:rFonts w:ascii="Georgia" w:hAnsi="Georgia"/>
          <w:b w:val="0"/>
          <w:sz w:val="20"/>
          <w:szCs w:val="20"/>
          <w:lang w:val="es-ES"/>
        </w:rPr>
        <w:t>Espa</w:t>
      </w:r>
      <w:r w:rsidR="00552315">
        <w:rPr>
          <w:rFonts w:ascii="Georgia" w:hAnsi="Georgia"/>
          <w:b w:val="0"/>
          <w:sz w:val="20"/>
          <w:szCs w:val="20"/>
          <w:lang w:val="es-ES"/>
        </w:rPr>
        <w:t>ňa</w:t>
      </w:r>
      <w:proofErr w:type="spellEnd"/>
      <w:r w:rsidR="0065328B" w:rsidRPr="00552315">
        <w:rPr>
          <w:rFonts w:ascii="Georgia" w:hAnsi="Georgia"/>
          <w:b w:val="0"/>
          <w:sz w:val="20"/>
          <w:szCs w:val="20"/>
          <w:lang w:val="es-ES"/>
        </w:rPr>
        <w:t>.</w:t>
      </w:r>
      <w:r w:rsidR="00552315">
        <w:rPr>
          <w:rFonts w:ascii="Georgia" w:hAnsi="Georgia"/>
          <w:b w:val="0"/>
          <w:sz w:val="20"/>
          <w:szCs w:val="20"/>
          <w:lang w:val="es-ES"/>
        </w:rPr>
        <w:t xml:space="preserve"> </w:t>
      </w:r>
    </w:p>
  </w:footnote>
  <w:footnote w:id="2">
    <w:p w14:paraId="568C3659" w14:textId="77777777" w:rsidR="00BF468B" w:rsidRPr="0070057D" w:rsidRDefault="00BF468B" w:rsidP="00BF468B">
      <w:pPr>
        <w:pStyle w:val="Testonotaapidipagina"/>
        <w:spacing w:line="360" w:lineRule="auto"/>
        <w:rPr>
          <w:rFonts w:ascii="Georgia" w:hAnsi="Georgia"/>
        </w:rPr>
      </w:pPr>
      <w:r w:rsidRPr="0070057D">
        <w:rPr>
          <w:rStyle w:val="Rimandonotaapidipagina"/>
          <w:rFonts w:ascii="Georgia" w:hAnsi="Georgia"/>
        </w:rPr>
        <w:t>**</w:t>
      </w:r>
      <w:r w:rsidRPr="0070057D">
        <w:rPr>
          <w:rFonts w:ascii="Georgia" w:hAnsi="Georgia"/>
        </w:rPr>
        <w:t xml:space="preserve"> Contributo sottoposto a valutazione anonima.</w:t>
      </w:r>
    </w:p>
  </w:footnote>
  <w:footnote w:id="3">
    <w:p w14:paraId="5C0DD656" w14:textId="77777777" w:rsidR="00D0603F" w:rsidRPr="00D0603F" w:rsidRDefault="00D0603F" w:rsidP="00D0603F">
      <w:pPr>
        <w:pStyle w:val="Testonotaapidipagina"/>
        <w:spacing w:line="360" w:lineRule="auto"/>
        <w:jc w:val="both"/>
        <w:rPr>
          <w:rFonts w:ascii="Georgia" w:hAnsi="Georgia"/>
          <w:lang w:val="es-ES"/>
        </w:rPr>
      </w:pPr>
      <w:r w:rsidRPr="00E44434">
        <w:rPr>
          <w:rStyle w:val="Rimandonotaapidipagina"/>
          <w:rFonts w:ascii="Georgia" w:hAnsi="Georgia"/>
        </w:rPr>
        <w:footnoteRef/>
      </w:r>
      <w:r w:rsidRPr="00D0603F">
        <w:rPr>
          <w:rFonts w:ascii="Georgia" w:hAnsi="Georgia"/>
          <w:lang w:val="es-ES"/>
        </w:rPr>
        <w:t xml:space="preserve"> La versión en castellano de la ley 19/2017, de 6 de septiembre, </w:t>
      </w:r>
      <w:proofErr w:type="gramStart"/>
      <w:r w:rsidRPr="00D0603F">
        <w:rPr>
          <w:rFonts w:ascii="Georgia" w:hAnsi="Georgia"/>
          <w:lang w:val="es-ES"/>
        </w:rPr>
        <w:t xml:space="preserve">del  </w:t>
      </w:r>
      <w:proofErr w:type="spellStart"/>
      <w:r w:rsidRPr="00D0603F">
        <w:rPr>
          <w:rFonts w:ascii="Georgia" w:hAnsi="Georgia"/>
          <w:lang w:val="es-ES"/>
        </w:rPr>
        <w:t>referèndum</w:t>
      </w:r>
      <w:proofErr w:type="spellEnd"/>
      <w:proofErr w:type="gramEnd"/>
      <w:r w:rsidRPr="00D0603F">
        <w:rPr>
          <w:rFonts w:ascii="Georgia" w:hAnsi="Georgia"/>
          <w:lang w:val="es-ES"/>
        </w:rPr>
        <w:t xml:space="preserve"> (sic) de autodeterminación, puede consultarse en el </w:t>
      </w:r>
      <w:proofErr w:type="spellStart"/>
      <w:r w:rsidRPr="00D0603F">
        <w:rPr>
          <w:rFonts w:ascii="Georgia" w:hAnsi="Georgia"/>
          <w:i/>
          <w:lang w:val="es-ES"/>
        </w:rPr>
        <w:t>Diari</w:t>
      </w:r>
      <w:proofErr w:type="spellEnd"/>
      <w:r w:rsidRPr="00D0603F">
        <w:rPr>
          <w:rFonts w:ascii="Georgia" w:hAnsi="Georgia"/>
          <w:i/>
          <w:lang w:val="es-ES"/>
        </w:rPr>
        <w:t xml:space="preserve"> Oficial</w:t>
      </w:r>
      <w:r w:rsidRPr="00D0603F">
        <w:rPr>
          <w:rFonts w:ascii="Georgia" w:hAnsi="Georgia"/>
          <w:lang w:val="es-ES"/>
        </w:rPr>
        <w:t xml:space="preserve">, 6 de Septiembre de 2017, disponible en </w:t>
      </w:r>
      <w:r w:rsidRPr="0061561C">
        <w:rPr>
          <w:rFonts w:ascii="Georgia" w:hAnsi="Georgia"/>
          <w:lang w:val="es-ES"/>
        </w:rPr>
        <w:t>http://portaldogc.gencat.cat/utilsEADOP/PDF/7449A/1633376.pdf</w:t>
      </w:r>
      <w:r w:rsidRPr="00D0603F">
        <w:rPr>
          <w:rFonts w:ascii="Georgia" w:hAnsi="Georgia"/>
          <w:lang w:val="es-ES"/>
        </w:rPr>
        <w:t xml:space="preserve">. </w:t>
      </w:r>
    </w:p>
  </w:footnote>
  <w:footnote w:id="4">
    <w:p w14:paraId="19E49190" w14:textId="77777777" w:rsidR="00D0603F" w:rsidRPr="00D0603F" w:rsidRDefault="00D0603F" w:rsidP="00D0603F">
      <w:pPr>
        <w:pStyle w:val="Testonotaapidipagina"/>
        <w:spacing w:line="360" w:lineRule="auto"/>
        <w:jc w:val="both"/>
        <w:rPr>
          <w:rFonts w:ascii="Georgia" w:hAnsi="Georgia"/>
          <w:lang w:val="es-ES"/>
        </w:rPr>
      </w:pPr>
      <w:r w:rsidRPr="00E44434">
        <w:rPr>
          <w:rStyle w:val="Rimandonotaapidipagina"/>
          <w:rFonts w:ascii="Georgia" w:hAnsi="Georgia"/>
        </w:rPr>
        <w:footnoteRef/>
      </w:r>
      <w:r w:rsidRPr="00D0603F">
        <w:rPr>
          <w:rFonts w:ascii="Georgia" w:hAnsi="Georgia"/>
          <w:lang w:val="es-ES"/>
        </w:rPr>
        <w:t xml:space="preserve"> De la jurisprudencia del Tribunal Constitucional se deriva que sólo podría plantearse una consulta popular sobre tal cuestión en el marco de un proceso de reforma de la Constitución que alterase el contenido del Artículo 2. Ello implica que tal consulta debería ir precedida de un referéndum “nacional” sobre la citada reforma constitucional. Véanse Sentencias 103/2008 (sobre el llamado Plan Ibarretxe), disponible en </w:t>
      </w:r>
      <w:hyperlink r:id="rId1" w:history="1">
        <w:r w:rsidRPr="00B86DF9">
          <w:rPr>
            <w:rStyle w:val="Collegamentoipertestuale"/>
            <w:rFonts w:ascii="Georgia" w:hAnsi="Georgia"/>
            <w:color w:val="auto"/>
            <w:u w:val="none"/>
            <w:lang w:val="es-ES"/>
          </w:rPr>
          <w:t>https://www.boe.es/boe/dias/2008/10/10/pdfs/T00003-00014.pdf y Sentencia 42/2014</w:t>
        </w:r>
      </w:hyperlink>
      <w:r w:rsidRPr="00B86DF9">
        <w:rPr>
          <w:rFonts w:ascii="Georgia" w:hAnsi="Georgia"/>
          <w:lang w:val="es-ES"/>
        </w:rPr>
        <w:t xml:space="preserve"> (derecho a decidir) disponible en </w:t>
      </w:r>
      <w:hyperlink r:id="rId2" w:history="1">
        <w:r w:rsidRPr="00B86DF9">
          <w:rPr>
            <w:rStyle w:val="Collegamentoipertestuale"/>
            <w:rFonts w:ascii="Georgia" w:hAnsi="Georgia"/>
            <w:color w:val="auto"/>
            <w:u w:val="none"/>
            <w:lang w:val="es-ES"/>
          </w:rPr>
          <w:t>https://www.boe.es/boe/dias/2014/04/10/pdfs/BOE-A-2014-3885.pdf</w:t>
        </w:r>
      </w:hyperlink>
      <w:r w:rsidRPr="00B86DF9">
        <w:rPr>
          <w:rFonts w:ascii="Georgia" w:hAnsi="Georgia"/>
          <w:lang w:val="es-ES"/>
        </w:rPr>
        <w:t xml:space="preserve">. </w:t>
      </w:r>
      <w:r w:rsidRPr="00D0603F">
        <w:rPr>
          <w:rFonts w:ascii="Georgia" w:hAnsi="Georgia"/>
          <w:lang w:val="es-ES"/>
        </w:rPr>
        <w:t xml:space="preserve"> Aunque el Gobierno no se ha manifestado de forma explícita al respecto, la negativa en redondo a considerar siquiera la eventualidad de una negociación sobre el referéndum, podría apuntar a la asunción de que una consulta tal no cabe ni en la Constitución vigente, ni en ninguna Constitución reformada de acuerdo con los procedimientos constitucionales vigentes. La indisolubilidad de España se habría convertido de este modo en parte de un núcleo intangible implícito de la Constitución Española.</w:t>
      </w:r>
    </w:p>
  </w:footnote>
  <w:footnote w:id="5">
    <w:p w14:paraId="70B0FF80" w14:textId="77777777" w:rsidR="00D0603F" w:rsidRPr="00D0603F" w:rsidRDefault="00D0603F" w:rsidP="00D0603F">
      <w:pPr>
        <w:pStyle w:val="Testonotaapidipagina"/>
        <w:spacing w:line="360" w:lineRule="auto"/>
        <w:jc w:val="both"/>
        <w:rPr>
          <w:rFonts w:ascii="Georgia" w:hAnsi="Georgia"/>
          <w:lang w:val="es-ES"/>
        </w:rPr>
      </w:pPr>
      <w:r w:rsidRPr="00E44434">
        <w:rPr>
          <w:rStyle w:val="Rimandonotaapidipagina"/>
          <w:rFonts w:ascii="Georgia" w:hAnsi="Georgia"/>
        </w:rPr>
        <w:footnoteRef/>
      </w:r>
      <w:r w:rsidRPr="00D0603F">
        <w:rPr>
          <w:rFonts w:ascii="Georgia" w:hAnsi="Georgia"/>
          <w:lang w:val="es-ES"/>
        </w:rPr>
        <w:t xml:space="preserve"> En particular, la suspensión de la Ley por el Tribunal Constitucional, así como el recordatorio explícito a las autoridades catalanas de la obligación de “impedir o paralizar cualquier iniciativa que suponga ignorar o eludir la suspensión acordada”, se limitarían a hacer explícito lo que se </w:t>
      </w:r>
      <w:proofErr w:type="gramStart"/>
      <w:r w:rsidRPr="00D0603F">
        <w:rPr>
          <w:rFonts w:ascii="Georgia" w:hAnsi="Georgia"/>
          <w:lang w:val="es-ES"/>
        </w:rPr>
        <w:t>deriva  lógicamente</w:t>
      </w:r>
      <w:proofErr w:type="gramEnd"/>
      <w:r w:rsidRPr="00D0603F">
        <w:rPr>
          <w:rFonts w:ascii="Georgia" w:hAnsi="Georgia"/>
          <w:lang w:val="es-ES"/>
        </w:rPr>
        <w:t xml:space="preserve"> de la manifiesta inconstitucionalidad de la Ley.</w:t>
      </w:r>
    </w:p>
  </w:footnote>
  <w:footnote w:id="6">
    <w:p w14:paraId="5146C88F" w14:textId="77777777" w:rsidR="00D0603F" w:rsidRPr="00D0603F" w:rsidRDefault="00D0603F" w:rsidP="00D0603F">
      <w:pPr>
        <w:pStyle w:val="Testonotaapidipagina"/>
        <w:spacing w:line="360" w:lineRule="auto"/>
        <w:jc w:val="both"/>
        <w:rPr>
          <w:rFonts w:ascii="Georgia" w:hAnsi="Georgia"/>
          <w:lang w:val="es-ES"/>
        </w:rPr>
      </w:pPr>
      <w:r w:rsidRPr="00E44434">
        <w:rPr>
          <w:rStyle w:val="Rimandonotaapidipagina"/>
          <w:rFonts w:ascii="Georgia" w:hAnsi="Georgia"/>
        </w:rPr>
        <w:footnoteRef/>
      </w:r>
      <w:r w:rsidR="00556700">
        <w:rPr>
          <w:rFonts w:ascii="Georgia" w:hAnsi="Georgia"/>
          <w:lang w:val="es-ES"/>
        </w:rPr>
        <w:t xml:space="preserve"> </w:t>
      </w:r>
      <w:r w:rsidR="00556700" w:rsidRPr="00556700">
        <w:rPr>
          <w:rFonts w:ascii="Georgia" w:hAnsi="Georgia"/>
          <w:smallCaps/>
          <w:lang w:val="es-ES"/>
        </w:rPr>
        <w:t>H.</w:t>
      </w:r>
      <w:r w:rsidRPr="00556700">
        <w:rPr>
          <w:rFonts w:ascii="Georgia" w:hAnsi="Georgia"/>
          <w:smallCaps/>
          <w:lang w:val="es-ES"/>
        </w:rPr>
        <w:t xml:space="preserve"> Kelsen</w:t>
      </w:r>
      <w:r w:rsidRPr="00D0603F">
        <w:rPr>
          <w:rFonts w:ascii="Georgia" w:hAnsi="Georgia"/>
          <w:lang w:val="es-ES"/>
        </w:rPr>
        <w:t xml:space="preserve">, </w:t>
      </w:r>
      <w:r w:rsidRPr="00D0603F">
        <w:rPr>
          <w:rFonts w:ascii="Georgia" w:hAnsi="Georgia"/>
          <w:i/>
          <w:lang w:val="es-ES"/>
        </w:rPr>
        <w:t>Teoría Pura del Derecho</w:t>
      </w:r>
      <w:r w:rsidRPr="00D0603F">
        <w:rPr>
          <w:rFonts w:ascii="Georgia" w:hAnsi="Georgia"/>
          <w:lang w:val="es-ES"/>
        </w:rPr>
        <w:t xml:space="preserve">, primera edición, cito por la edición de Gregorio Robles, </w:t>
      </w:r>
      <w:proofErr w:type="spellStart"/>
      <w:r w:rsidRPr="00D0603F">
        <w:rPr>
          <w:rFonts w:ascii="Georgia" w:hAnsi="Georgia"/>
          <w:lang w:val="es-ES"/>
        </w:rPr>
        <w:t>Trotta</w:t>
      </w:r>
      <w:proofErr w:type="spellEnd"/>
      <w:r w:rsidR="00556700">
        <w:rPr>
          <w:rFonts w:ascii="Georgia" w:hAnsi="Georgia"/>
          <w:lang w:val="es-ES"/>
        </w:rPr>
        <w:t>,</w:t>
      </w:r>
      <w:r w:rsidR="00556700" w:rsidRPr="00556700">
        <w:rPr>
          <w:rFonts w:ascii="Georgia" w:hAnsi="Georgia"/>
          <w:lang w:val="es-ES"/>
        </w:rPr>
        <w:t xml:space="preserve"> </w:t>
      </w:r>
      <w:r w:rsidR="00556700">
        <w:rPr>
          <w:rFonts w:ascii="Georgia" w:hAnsi="Georgia"/>
          <w:lang w:val="es-ES"/>
        </w:rPr>
        <w:t>Madrid</w:t>
      </w:r>
      <w:r w:rsidR="007C2BC1">
        <w:rPr>
          <w:rFonts w:ascii="Georgia" w:hAnsi="Georgia"/>
          <w:lang w:val="es-ES"/>
        </w:rPr>
        <w:t>,</w:t>
      </w:r>
      <w:r w:rsidR="00556700">
        <w:rPr>
          <w:rFonts w:ascii="Georgia" w:hAnsi="Georgia"/>
          <w:lang w:val="es-ES"/>
        </w:rPr>
        <w:t xml:space="preserve"> 1934,</w:t>
      </w:r>
      <w:r w:rsidRPr="00D0603F">
        <w:rPr>
          <w:rFonts w:ascii="Georgia" w:hAnsi="Georgia"/>
          <w:lang w:val="es-ES"/>
        </w:rPr>
        <w:t xml:space="preserve"> 86.</w:t>
      </w:r>
    </w:p>
  </w:footnote>
  <w:footnote w:id="7">
    <w:p w14:paraId="238907EB" w14:textId="77777777" w:rsidR="00D0603F" w:rsidRPr="00D0603F" w:rsidRDefault="00D0603F" w:rsidP="00D0603F">
      <w:pPr>
        <w:pStyle w:val="Testonotaapidipagina"/>
        <w:spacing w:line="360" w:lineRule="auto"/>
        <w:jc w:val="both"/>
        <w:rPr>
          <w:rFonts w:ascii="Georgia" w:hAnsi="Georgia"/>
          <w:lang w:val="es-ES"/>
        </w:rPr>
      </w:pPr>
      <w:r w:rsidRPr="00E44434">
        <w:rPr>
          <w:rStyle w:val="Rimandonotaapidipagina"/>
          <w:rFonts w:ascii="Georgia" w:hAnsi="Georgia"/>
        </w:rPr>
        <w:footnoteRef/>
      </w:r>
      <w:r w:rsidRPr="00D0603F">
        <w:rPr>
          <w:rFonts w:ascii="Georgia" w:hAnsi="Georgia"/>
          <w:lang w:val="es-ES"/>
        </w:rPr>
        <w:t xml:space="preserve"> </w:t>
      </w:r>
      <w:r w:rsidRPr="0008713D">
        <w:rPr>
          <w:rFonts w:ascii="Georgia" w:hAnsi="Georgia"/>
          <w:smallCaps/>
          <w:lang w:val="es-ES"/>
        </w:rPr>
        <w:t>H</w:t>
      </w:r>
      <w:r w:rsidR="0008713D" w:rsidRPr="0008713D">
        <w:rPr>
          <w:rFonts w:ascii="Georgia" w:hAnsi="Georgia"/>
          <w:smallCaps/>
          <w:lang w:val="es-ES"/>
        </w:rPr>
        <w:t>.</w:t>
      </w:r>
      <w:r w:rsidRPr="0008713D">
        <w:rPr>
          <w:rFonts w:ascii="Georgia" w:hAnsi="Georgia"/>
          <w:smallCaps/>
          <w:lang w:val="es-ES"/>
        </w:rPr>
        <w:t xml:space="preserve"> L</w:t>
      </w:r>
      <w:r w:rsidR="0008713D" w:rsidRPr="0008713D">
        <w:rPr>
          <w:rFonts w:ascii="Georgia" w:hAnsi="Georgia"/>
          <w:smallCaps/>
          <w:lang w:val="es-ES"/>
        </w:rPr>
        <w:t>.</w:t>
      </w:r>
      <w:r w:rsidRPr="0008713D">
        <w:rPr>
          <w:rFonts w:ascii="Georgia" w:hAnsi="Georgia"/>
          <w:smallCaps/>
          <w:lang w:val="es-ES"/>
        </w:rPr>
        <w:t xml:space="preserve"> A</w:t>
      </w:r>
      <w:r w:rsidR="0008713D" w:rsidRPr="0008713D">
        <w:rPr>
          <w:rFonts w:ascii="Georgia" w:hAnsi="Georgia"/>
          <w:smallCaps/>
          <w:lang w:val="es-ES"/>
        </w:rPr>
        <w:t>.</w:t>
      </w:r>
      <w:r w:rsidRPr="0008713D">
        <w:rPr>
          <w:rFonts w:ascii="Georgia" w:hAnsi="Georgia"/>
          <w:smallCaps/>
          <w:lang w:val="es-ES"/>
        </w:rPr>
        <w:t xml:space="preserve"> </w:t>
      </w:r>
      <w:proofErr w:type="spellStart"/>
      <w:r w:rsidRPr="0008713D">
        <w:rPr>
          <w:rFonts w:ascii="Georgia" w:hAnsi="Georgia"/>
          <w:smallCaps/>
          <w:lang w:val="es-ES"/>
        </w:rPr>
        <w:t>Hart</w:t>
      </w:r>
      <w:proofErr w:type="spellEnd"/>
      <w:r w:rsidRPr="00D0603F">
        <w:rPr>
          <w:rFonts w:ascii="Georgia" w:hAnsi="Georgia"/>
          <w:lang w:val="es-ES"/>
        </w:rPr>
        <w:t xml:space="preserve">, </w:t>
      </w:r>
      <w:r w:rsidRPr="00D0603F">
        <w:rPr>
          <w:rFonts w:ascii="Georgia" w:hAnsi="Georgia"/>
          <w:i/>
          <w:lang w:val="es-ES"/>
        </w:rPr>
        <w:t xml:space="preserve">El Concepto de </w:t>
      </w:r>
      <w:r w:rsidRPr="00D0603F">
        <w:rPr>
          <w:rFonts w:ascii="Georgia" w:hAnsi="Georgia"/>
          <w:lang w:val="es-ES"/>
        </w:rPr>
        <w:t xml:space="preserve">Derecho, </w:t>
      </w:r>
      <w:proofErr w:type="spellStart"/>
      <w:r w:rsidR="0008713D" w:rsidRPr="00D0603F">
        <w:rPr>
          <w:rFonts w:ascii="Georgia" w:hAnsi="Georgia"/>
          <w:lang w:val="es-ES"/>
        </w:rPr>
        <w:t>Abeledo</w:t>
      </w:r>
      <w:proofErr w:type="spellEnd"/>
      <w:r w:rsidR="0008713D" w:rsidRPr="00D0603F">
        <w:rPr>
          <w:rFonts w:ascii="Georgia" w:hAnsi="Georgia"/>
          <w:lang w:val="es-ES"/>
        </w:rPr>
        <w:t xml:space="preserve"> </w:t>
      </w:r>
      <w:proofErr w:type="spellStart"/>
      <w:r w:rsidR="0008713D" w:rsidRPr="00D0603F">
        <w:rPr>
          <w:rFonts w:ascii="Georgia" w:hAnsi="Georgia"/>
          <w:lang w:val="es-ES"/>
        </w:rPr>
        <w:t>Perrot</w:t>
      </w:r>
      <w:proofErr w:type="spellEnd"/>
      <w:r w:rsidR="0008713D">
        <w:rPr>
          <w:rFonts w:ascii="Georgia" w:hAnsi="Georgia"/>
          <w:lang w:val="es-ES"/>
        </w:rPr>
        <w:t>,</w:t>
      </w:r>
      <w:r w:rsidR="0008713D" w:rsidRPr="00D0603F">
        <w:rPr>
          <w:rFonts w:ascii="Georgia" w:hAnsi="Georgia"/>
          <w:lang w:val="es-ES"/>
        </w:rPr>
        <w:t xml:space="preserve"> </w:t>
      </w:r>
      <w:r w:rsidR="0008713D">
        <w:rPr>
          <w:rFonts w:ascii="Georgia" w:hAnsi="Georgia"/>
          <w:lang w:val="es-ES"/>
        </w:rPr>
        <w:t>Buenos Aires</w:t>
      </w:r>
      <w:r w:rsidR="006D14CD">
        <w:rPr>
          <w:rFonts w:ascii="Georgia" w:hAnsi="Georgia"/>
          <w:lang w:val="es-ES"/>
        </w:rPr>
        <w:t>,</w:t>
      </w:r>
      <w:r w:rsidR="0008713D">
        <w:rPr>
          <w:rFonts w:ascii="Georgia" w:hAnsi="Georgia"/>
          <w:lang w:val="es-ES"/>
        </w:rPr>
        <w:t xml:space="preserve"> 1963, </w:t>
      </w:r>
      <w:r w:rsidRPr="00D0603F">
        <w:rPr>
          <w:rFonts w:ascii="Georgia" w:hAnsi="Georgia"/>
          <w:lang w:val="es-ES"/>
        </w:rPr>
        <w:t>145</w:t>
      </w:r>
      <w:r w:rsidR="0008713D">
        <w:rPr>
          <w:rFonts w:ascii="Georgia" w:hAnsi="Georgia"/>
          <w:lang w:val="es-ES"/>
        </w:rPr>
        <w:t>.</w:t>
      </w:r>
    </w:p>
  </w:footnote>
  <w:footnote w:id="8">
    <w:p w14:paraId="5B018069" w14:textId="77777777" w:rsidR="00D0603F" w:rsidRPr="00D0603F" w:rsidRDefault="00D0603F" w:rsidP="00D0603F">
      <w:pPr>
        <w:pStyle w:val="Testonotaapidipagina"/>
        <w:spacing w:line="360" w:lineRule="auto"/>
        <w:jc w:val="both"/>
        <w:rPr>
          <w:rFonts w:ascii="Georgia" w:hAnsi="Georgia"/>
          <w:lang w:val="es-ES"/>
        </w:rPr>
      </w:pPr>
      <w:r w:rsidRPr="00E44434">
        <w:rPr>
          <w:rStyle w:val="Rimandonotaapidipagina"/>
          <w:rFonts w:ascii="Georgia" w:hAnsi="Georgia"/>
        </w:rPr>
        <w:footnoteRef/>
      </w:r>
      <w:r w:rsidRPr="00D0603F">
        <w:rPr>
          <w:rFonts w:ascii="Georgia" w:hAnsi="Georgia"/>
          <w:lang w:val="es-ES"/>
        </w:rPr>
        <w:t xml:space="preserve"> ‘La Policía Nacional se aloja en Barcelona en un barco adornado con Piolín y Silvestre’, </w:t>
      </w:r>
      <w:r w:rsidRPr="00D0603F">
        <w:rPr>
          <w:rFonts w:ascii="Georgia" w:hAnsi="Georgia"/>
          <w:i/>
          <w:lang w:val="es-ES"/>
        </w:rPr>
        <w:t>El País</w:t>
      </w:r>
      <w:r w:rsidRPr="00D0603F">
        <w:rPr>
          <w:rFonts w:ascii="Georgia" w:hAnsi="Georgia"/>
          <w:lang w:val="es-ES"/>
        </w:rPr>
        <w:t xml:space="preserve">, 22 de </w:t>
      </w:r>
      <w:proofErr w:type="gramStart"/>
      <w:r w:rsidRPr="00D0603F">
        <w:rPr>
          <w:rFonts w:ascii="Georgia" w:hAnsi="Georgia"/>
          <w:lang w:val="es-ES"/>
        </w:rPr>
        <w:t>Septiembre</w:t>
      </w:r>
      <w:proofErr w:type="gramEnd"/>
      <w:r w:rsidRPr="00D0603F">
        <w:rPr>
          <w:rFonts w:ascii="Georgia" w:hAnsi="Georgia"/>
          <w:lang w:val="es-ES"/>
        </w:rPr>
        <w:t xml:space="preserve"> de 2017; ‘Sindicatos de Policía: Si Rajoy o </w:t>
      </w:r>
      <w:proofErr w:type="spellStart"/>
      <w:r w:rsidRPr="00D0603F">
        <w:rPr>
          <w:rFonts w:ascii="Georgia" w:hAnsi="Georgia"/>
          <w:lang w:val="es-ES"/>
        </w:rPr>
        <w:t>Zoido</w:t>
      </w:r>
      <w:proofErr w:type="spellEnd"/>
      <w:r w:rsidRPr="00D0603F">
        <w:rPr>
          <w:rFonts w:ascii="Georgia" w:hAnsi="Georgia"/>
          <w:lang w:val="es-ES"/>
        </w:rPr>
        <w:t xml:space="preserve"> no actúan ya, que dimitan’, </w:t>
      </w:r>
      <w:r w:rsidRPr="00D0603F">
        <w:rPr>
          <w:rFonts w:ascii="Georgia" w:hAnsi="Georgia"/>
          <w:i/>
          <w:lang w:val="es-ES"/>
        </w:rPr>
        <w:t>La Vanguardia</w:t>
      </w:r>
      <w:r w:rsidRPr="00D0603F">
        <w:rPr>
          <w:rFonts w:ascii="Georgia" w:hAnsi="Georgia"/>
          <w:lang w:val="es-ES"/>
        </w:rPr>
        <w:t>, 3 de Octubre de 2017.</w:t>
      </w:r>
    </w:p>
  </w:footnote>
  <w:footnote w:id="9">
    <w:p w14:paraId="63A82544" w14:textId="77777777" w:rsidR="00D0603F" w:rsidRPr="0008713D" w:rsidRDefault="00D0603F" w:rsidP="00D0603F">
      <w:pPr>
        <w:pStyle w:val="Testonotaapidipagina"/>
        <w:spacing w:line="360" w:lineRule="auto"/>
        <w:jc w:val="both"/>
        <w:rPr>
          <w:rFonts w:ascii="Georgia" w:hAnsi="Georgia"/>
          <w:lang w:val="en-US"/>
        </w:rPr>
      </w:pPr>
      <w:r w:rsidRPr="00E44434">
        <w:rPr>
          <w:rStyle w:val="Rimandonotaapidipagina"/>
          <w:rFonts w:ascii="Georgia" w:hAnsi="Georgia"/>
        </w:rPr>
        <w:footnoteRef/>
      </w:r>
      <w:r w:rsidRPr="0008713D">
        <w:rPr>
          <w:rFonts w:ascii="Georgia" w:hAnsi="Georgia"/>
          <w:lang w:val="en-US"/>
        </w:rPr>
        <w:t xml:space="preserve"> </w:t>
      </w:r>
      <w:proofErr w:type="spellStart"/>
      <w:r w:rsidRPr="0008713D">
        <w:rPr>
          <w:rFonts w:ascii="Georgia" w:hAnsi="Georgia"/>
          <w:lang w:val="en-US"/>
        </w:rPr>
        <w:t>Véase</w:t>
      </w:r>
      <w:proofErr w:type="spellEnd"/>
      <w:r w:rsidRPr="0008713D">
        <w:rPr>
          <w:rFonts w:ascii="Georgia" w:hAnsi="Georgia"/>
          <w:lang w:val="en-US"/>
        </w:rPr>
        <w:t xml:space="preserve"> </w:t>
      </w:r>
      <w:proofErr w:type="spellStart"/>
      <w:r w:rsidRPr="0008713D">
        <w:rPr>
          <w:rFonts w:ascii="Georgia" w:hAnsi="Georgia"/>
          <w:lang w:val="en-US"/>
        </w:rPr>
        <w:t>sobre</w:t>
      </w:r>
      <w:proofErr w:type="spellEnd"/>
      <w:r w:rsidRPr="0008713D">
        <w:rPr>
          <w:rFonts w:ascii="Georgia" w:hAnsi="Georgia"/>
          <w:lang w:val="en-US"/>
        </w:rPr>
        <w:t xml:space="preserve"> el particular</w:t>
      </w:r>
      <w:r w:rsidR="0008713D" w:rsidRPr="0008713D">
        <w:rPr>
          <w:rFonts w:ascii="Georgia" w:hAnsi="Georgia"/>
          <w:lang w:val="en-US"/>
        </w:rPr>
        <w:t xml:space="preserve"> </w:t>
      </w:r>
      <w:r w:rsidR="0008713D" w:rsidRPr="0008713D">
        <w:rPr>
          <w:rFonts w:ascii="Georgia" w:hAnsi="Georgia"/>
          <w:smallCaps/>
          <w:lang w:val="en-US"/>
        </w:rPr>
        <w:t>L. C.</w:t>
      </w:r>
      <w:r w:rsidRPr="0008713D">
        <w:rPr>
          <w:rFonts w:ascii="Georgia" w:hAnsi="Georgia"/>
          <w:smallCaps/>
          <w:lang w:val="en-US"/>
        </w:rPr>
        <w:t xml:space="preserve"> </w:t>
      </w:r>
      <w:proofErr w:type="spellStart"/>
      <w:r w:rsidRPr="0008713D">
        <w:rPr>
          <w:rFonts w:ascii="Georgia" w:hAnsi="Georgia"/>
          <w:smallCaps/>
          <w:lang w:val="en-US"/>
        </w:rPr>
        <w:t>Blichner</w:t>
      </w:r>
      <w:proofErr w:type="spellEnd"/>
      <w:r w:rsidRPr="0008713D">
        <w:rPr>
          <w:rFonts w:ascii="Georgia" w:hAnsi="Georgia"/>
          <w:lang w:val="en-US"/>
        </w:rPr>
        <w:t xml:space="preserve">, </w:t>
      </w:r>
      <w:hyperlink r:id="rId3" w:history="1">
        <w:proofErr w:type="spellStart"/>
        <w:r w:rsidRPr="0008713D">
          <w:rPr>
            <w:rStyle w:val="Collegamentoipertestuale"/>
            <w:rFonts w:ascii="Georgia" w:hAnsi="Georgia"/>
            <w:i/>
            <w:color w:val="auto"/>
            <w:u w:val="none"/>
            <w:lang w:val="en-US"/>
          </w:rPr>
          <w:t>Juridification</w:t>
        </w:r>
        <w:proofErr w:type="spellEnd"/>
        <w:r w:rsidRPr="0008713D">
          <w:rPr>
            <w:rStyle w:val="Collegamentoipertestuale"/>
            <w:rFonts w:ascii="Georgia" w:hAnsi="Georgia"/>
            <w:i/>
            <w:color w:val="auto"/>
            <w:u w:val="none"/>
            <w:lang w:val="en-US"/>
          </w:rPr>
          <w:t xml:space="preserve"> from Below: The Dynamics of </w:t>
        </w:r>
        <w:proofErr w:type="spellStart"/>
        <w:r w:rsidRPr="0008713D">
          <w:rPr>
            <w:rStyle w:val="Collegamentoipertestuale"/>
            <w:rFonts w:ascii="Georgia" w:hAnsi="Georgia"/>
            <w:i/>
            <w:color w:val="auto"/>
            <w:u w:val="none"/>
            <w:lang w:val="en-US"/>
          </w:rPr>
          <w:t>MacCormick’s</w:t>
        </w:r>
        <w:proofErr w:type="spellEnd"/>
        <w:r w:rsidRPr="0008713D">
          <w:rPr>
            <w:rStyle w:val="Collegamentoipertestuale"/>
            <w:rFonts w:ascii="Georgia" w:hAnsi="Georgia"/>
            <w:i/>
            <w:color w:val="auto"/>
            <w:u w:val="none"/>
            <w:lang w:val="en-US"/>
          </w:rPr>
          <w:t xml:space="preserve"> Institutional Theory of Law</w:t>
        </w:r>
      </w:hyperlink>
      <w:r w:rsidR="0008713D" w:rsidRPr="0008713D">
        <w:rPr>
          <w:rFonts w:ascii="Georgia" w:hAnsi="Georgia"/>
          <w:lang w:val="en-US"/>
        </w:rPr>
        <w:t>,</w:t>
      </w:r>
      <w:r w:rsidR="0008713D">
        <w:rPr>
          <w:rFonts w:ascii="Georgia" w:hAnsi="Georgia"/>
          <w:lang w:val="en-US"/>
        </w:rPr>
        <w:t xml:space="preserve"> i</w:t>
      </w:r>
      <w:r w:rsidRPr="0008713D">
        <w:rPr>
          <w:rFonts w:ascii="Georgia" w:hAnsi="Georgia"/>
          <w:lang w:val="en-US"/>
        </w:rPr>
        <w:t xml:space="preserve">n </w:t>
      </w:r>
      <w:r w:rsidR="0008713D" w:rsidRPr="0008713D">
        <w:rPr>
          <w:rFonts w:ascii="Georgia" w:hAnsi="Georgia"/>
          <w:smallCaps/>
          <w:lang w:val="en-US"/>
        </w:rPr>
        <w:t xml:space="preserve">J. E. </w:t>
      </w:r>
      <w:proofErr w:type="spellStart"/>
      <w:r w:rsidR="0008713D" w:rsidRPr="0008713D">
        <w:rPr>
          <w:rFonts w:ascii="Georgia" w:hAnsi="Georgia"/>
          <w:smallCaps/>
          <w:lang w:val="en-US"/>
        </w:rPr>
        <w:t>Fossum</w:t>
      </w:r>
      <w:proofErr w:type="spellEnd"/>
      <w:r w:rsidR="0008713D" w:rsidRPr="0008713D">
        <w:rPr>
          <w:rFonts w:ascii="Georgia" w:hAnsi="Georgia"/>
          <w:smallCaps/>
          <w:lang w:val="en-US"/>
        </w:rPr>
        <w:t xml:space="preserve"> – A. J.</w:t>
      </w:r>
      <w:r w:rsidRPr="0008713D">
        <w:rPr>
          <w:rFonts w:ascii="Georgia" w:hAnsi="Georgia"/>
          <w:smallCaps/>
          <w:lang w:val="en-US"/>
        </w:rPr>
        <w:t xml:space="preserve"> Menéndez</w:t>
      </w:r>
      <w:r w:rsidRPr="0008713D">
        <w:rPr>
          <w:rFonts w:ascii="Georgia" w:hAnsi="Georgia"/>
          <w:lang w:val="en-US"/>
        </w:rPr>
        <w:t xml:space="preserve"> (eds.), </w:t>
      </w:r>
      <w:r w:rsidRPr="0008713D">
        <w:rPr>
          <w:rFonts w:ascii="Georgia" w:hAnsi="Georgia"/>
          <w:i/>
          <w:lang w:val="en-US"/>
        </w:rPr>
        <w:t>Law and Demo</w:t>
      </w:r>
      <w:r w:rsidR="0008713D">
        <w:rPr>
          <w:rFonts w:ascii="Georgia" w:hAnsi="Georgia"/>
          <w:i/>
          <w:lang w:val="en-US"/>
        </w:rPr>
        <w:t xml:space="preserve">cracy in Neil </w:t>
      </w:r>
      <w:proofErr w:type="spellStart"/>
      <w:r w:rsidR="0008713D">
        <w:rPr>
          <w:rFonts w:ascii="Georgia" w:hAnsi="Georgia"/>
          <w:i/>
          <w:lang w:val="en-US"/>
        </w:rPr>
        <w:t>MacCormick’</w:t>
      </w:r>
      <w:r w:rsidRPr="0008713D">
        <w:rPr>
          <w:rFonts w:ascii="Georgia" w:hAnsi="Georgia"/>
          <w:i/>
          <w:lang w:val="en-US"/>
        </w:rPr>
        <w:t>s</w:t>
      </w:r>
      <w:proofErr w:type="spellEnd"/>
      <w:r w:rsidRPr="0008713D">
        <w:rPr>
          <w:rFonts w:ascii="Georgia" w:hAnsi="Georgia"/>
          <w:i/>
          <w:lang w:val="en-US"/>
        </w:rPr>
        <w:t xml:space="preserve"> Legal and Political Theory</w:t>
      </w:r>
      <w:r w:rsidRPr="0008713D">
        <w:rPr>
          <w:rFonts w:ascii="Georgia" w:hAnsi="Georgia"/>
          <w:lang w:val="en-US"/>
        </w:rPr>
        <w:t xml:space="preserve">, </w:t>
      </w:r>
      <w:r w:rsidR="0008713D" w:rsidRPr="0008713D">
        <w:rPr>
          <w:rFonts w:ascii="Georgia" w:hAnsi="Georgia"/>
          <w:lang w:val="en-US"/>
        </w:rPr>
        <w:t>Springer</w:t>
      </w:r>
      <w:r w:rsidR="0008713D">
        <w:rPr>
          <w:rFonts w:ascii="Georgia" w:hAnsi="Georgia"/>
          <w:lang w:val="en-US"/>
        </w:rPr>
        <w:t>,</w:t>
      </w:r>
      <w:r w:rsidR="0008713D" w:rsidRPr="0008713D">
        <w:rPr>
          <w:rFonts w:ascii="Georgia" w:hAnsi="Georgia"/>
          <w:lang w:val="en-US"/>
        </w:rPr>
        <w:t xml:space="preserve"> </w:t>
      </w:r>
      <w:r w:rsidR="0008713D">
        <w:rPr>
          <w:rFonts w:ascii="Georgia" w:hAnsi="Georgia"/>
          <w:lang w:val="en-US"/>
        </w:rPr>
        <w:t>Dordrecht</w:t>
      </w:r>
      <w:r w:rsidR="006D14CD">
        <w:rPr>
          <w:rFonts w:ascii="Georgia" w:hAnsi="Georgia"/>
          <w:lang w:val="en-US"/>
        </w:rPr>
        <w:t>,</w:t>
      </w:r>
      <w:r w:rsidR="0008713D">
        <w:rPr>
          <w:rFonts w:ascii="Georgia" w:hAnsi="Georgia"/>
          <w:lang w:val="en-US"/>
        </w:rPr>
        <w:t xml:space="preserve"> 2010,</w:t>
      </w:r>
      <w:r w:rsidRPr="0008713D">
        <w:rPr>
          <w:rStyle w:val="content-type-listtext"/>
          <w:rFonts w:ascii="Georgia" w:hAnsi="Georgia"/>
          <w:lang w:val="en-US"/>
        </w:rPr>
        <w:t xml:space="preserve"> 27-53</w:t>
      </w:r>
      <w:r w:rsidR="0008713D">
        <w:rPr>
          <w:rFonts w:ascii="Georgia" w:hAnsi="Georgia"/>
          <w:lang w:val="en-US"/>
        </w:rPr>
        <w:t>.</w:t>
      </w:r>
    </w:p>
  </w:footnote>
  <w:footnote w:id="10">
    <w:p w14:paraId="44AA9BD6" w14:textId="77777777" w:rsidR="00D0603F" w:rsidRPr="00D0603F" w:rsidRDefault="00D0603F" w:rsidP="00D0603F">
      <w:pPr>
        <w:pStyle w:val="Testonotaapidipagina"/>
        <w:spacing w:line="360" w:lineRule="auto"/>
        <w:jc w:val="both"/>
        <w:rPr>
          <w:rFonts w:ascii="Georgia" w:hAnsi="Georgia"/>
          <w:lang w:val="es-ES"/>
        </w:rPr>
      </w:pPr>
      <w:r w:rsidRPr="00E44434">
        <w:rPr>
          <w:rStyle w:val="Rimandonotaapidipagina"/>
          <w:rFonts w:ascii="Georgia" w:hAnsi="Georgia"/>
        </w:rPr>
        <w:footnoteRef/>
      </w:r>
      <w:r w:rsidRPr="00D0603F">
        <w:rPr>
          <w:rFonts w:ascii="Georgia" w:hAnsi="Georgia"/>
          <w:lang w:val="es-ES"/>
        </w:rPr>
        <w:t xml:space="preserve"> Reforma exprés que </w:t>
      </w:r>
      <w:proofErr w:type="gramStart"/>
      <w:r w:rsidRPr="00D0603F">
        <w:rPr>
          <w:rFonts w:ascii="Georgia" w:hAnsi="Georgia"/>
          <w:lang w:val="es-ES"/>
        </w:rPr>
        <w:t>contribuyó</w:t>
      </w:r>
      <w:proofErr w:type="gramEnd"/>
      <w:r w:rsidRPr="00D0603F">
        <w:rPr>
          <w:rFonts w:ascii="Georgia" w:hAnsi="Georgia"/>
          <w:lang w:val="es-ES"/>
        </w:rPr>
        <w:t xml:space="preserve"> además, lo que es muy relevante al discutir la cuestión catalana, a la ruptura del “pacto constituyente”, al dejarse a la entonces CiU fuera de las negociaciones para la redacción del nuevo texto del 135 CE. Qué consecuencias constitucionales se derivaban lo puso de relieve Duran i Lleida, de quien es difícil sospechar fervor independentista alguno: “Nos produce escalofríos (</w:t>
      </w:r>
      <w:proofErr w:type="gramStart"/>
      <w:r w:rsidRPr="00D0603F">
        <w:rPr>
          <w:rFonts w:ascii="Georgia" w:hAnsi="Georgia"/>
          <w:lang w:val="es-ES"/>
        </w:rPr>
        <w:t>…)pensar</w:t>
      </w:r>
      <w:proofErr w:type="gramEnd"/>
      <w:r w:rsidRPr="00D0603F">
        <w:rPr>
          <w:rFonts w:ascii="Georgia" w:hAnsi="Georgia"/>
          <w:lang w:val="es-ES"/>
        </w:rPr>
        <w:t xml:space="preserve"> que pueda dar igual a algunas fuerzas políticas que </w:t>
      </w:r>
      <w:proofErr w:type="spellStart"/>
      <w:r w:rsidRPr="00D0603F">
        <w:rPr>
          <w:rFonts w:ascii="Georgia" w:hAnsi="Georgia"/>
          <w:lang w:val="es-ES"/>
        </w:rPr>
        <w:t>Convergència</w:t>
      </w:r>
      <w:proofErr w:type="spellEnd"/>
      <w:r w:rsidRPr="00D0603F">
        <w:rPr>
          <w:rFonts w:ascii="Georgia" w:hAnsi="Georgia"/>
          <w:lang w:val="es-ES"/>
        </w:rPr>
        <w:t xml:space="preserve"> i Unió, que intervino en la Constitución, pueda sentirse no identificada con la misma”, Diario de Sesiones, 30 de Agosto de 2011, disponible en </w:t>
      </w:r>
      <w:r w:rsidRPr="005471B2">
        <w:rPr>
          <w:rFonts w:ascii="Georgia" w:hAnsi="Georgia"/>
          <w:lang w:val="es-ES"/>
        </w:rPr>
        <w:t>http://www.congreso.es/public_oficiales/L9/CONG/DS/PL/PL_269.PDF</w:t>
      </w:r>
      <w:r w:rsidRPr="00D0603F">
        <w:rPr>
          <w:rFonts w:ascii="Georgia" w:hAnsi="Georgia"/>
          <w:lang w:val="es-ES"/>
        </w:rPr>
        <w:t>, pág.7, segunda columna.</w:t>
      </w:r>
    </w:p>
  </w:footnote>
  <w:footnote w:id="11">
    <w:p w14:paraId="60293D6D" w14:textId="77777777" w:rsidR="00D0603F" w:rsidRPr="00D0603F" w:rsidRDefault="00D0603F" w:rsidP="00D0603F">
      <w:pPr>
        <w:pStyle w:val="Testonotaapidipagina"/>
        <w:spacing w:line="360" w:lineRule="auto"/>
        <w:jc w:val="both"/>
        <w:rPr>
          <w:rFonts w:ascii="Georgia" w:hAnsi="Georgia"/>
          <w:lang w:val="es-ES"/>
        </w:rPr>
      </w:pPr>
      <w:r w:rsidRPr="00E44434">
        <w:rPr>
          <w:rStyle w:val="Rimandonotaapidipagina"/>
          <w:rFonts w:ascii="Georgia" w:hAnsi="Georgia"/>
        </w:rPr>
        <w:footnoteRef/>
      </w:r>
      <w:r w:rsidR="00EE45BD">
        <w:rPr>
          <w:rFonts w:ascii="Georgia" w:hAnsi="Georgia"/>
          <w:lang w:val="es-ES"/>
        </w:rPr>
        <w:t xml:space="preserve"> </w:t>
      </w:r>
      <w:r w:rsidR="00EE45BD" w:rsidRPr="00EE45BD">
        <w:rPr>
          <w:rFonts w:ascii="Georgia" w:hAnsi="Georgia"/>
          <w:smallCaps/>
          <w:lang w:val="es-ES"/>
        </w:rPr>
        <w:t>M.</w:t>
      </w:r>
      <w:r w:rsidRPr="00EE45BD">
        <w:rPr>
          <w:rFonts w:ascii="Georgia" w:hAnsi="Georgia"/>
          <w:smallCaps/>
          <w:lang w:val="es-ES"/>
        </w:rPr>
        <w:t xml:space="preserve"> Aragón Reyes</w:t>
      </w:r>
      <w:r w:rsidRPr="00D0603F">
        <w:rPr>
          <w:rFonts w:ascii="Georgia" w:hAnsi="Georgia"/>
          <w:lang w:val="es-ES"/>
        </w:rPr>
        <w:t xml:space="preserve">, </w:t>
      </w:r>
      <w:r w:rsidRPr="00D0603F">
        <w:rPr>
          <w:rFonts w:ascii="Georgia" w:hAnsi="Georgia"/>
          <w:i/>
          <w:lang w:val="es-ES"/>
        </w:rPr>
        <w:t>Uso y abuso del decreto-ley. Una propuesta de reforma constitucional</w:t>
      </w:r>
      <w:r w:rsidRPr="00D0603F">
        <w:rPr>
          <w:rFonts w:ascii="Georgia" w:hAnsi="Georgia"/>
          <w:lang w:val="es-ES"/>
        </w:rPr>
        <w:t xml:space="preserve">, </w:t>
      </w:r>
      <w:proofErr w:type="spellStart"/>
      <w:r w:rsidR="00EE45BD" w:rsidRPr="00D0603F">
        <w:rPr>
          <w:rFonts w:ascii="Georgia" w:hAnsi="Georgia"/>
          <w:lang w:val="es-ES"/>
        </w:rPr>
        <w:t>Iustel</w:t>
      </w:r>
      <w:proofErr w:type="spellEnd"/>
      <w:r w:rsidR="00EE45BD">
        <w:rPr>
          <w:rFonts w:ascii="Georgia" w:hAnsi="Georgia"/>
          <w:lang w:val="es-ES"/>
        </w:rPr>
        <w:t>,</w:t>
      </w:r>
      <w:r w:rsidR="00EE45BD" w:rsidRPr="00D0603F">
        <w:rPr>
          <w:rFonts w:ascii="Georgia" w:hAnsi="Georgia"/>
          <w:lang w:val="es-ES"/>
        </w:rPr>
        <w:t xml:space="preserve"> </w:t>
      </w:r>
      <w:r w:rsidR="00EE45BD">
        <w:rPr>
          <w:rFonts w:ascii="Georgia" w:hAnsi="Georgia"/>
          <w:lang w:val="es-ES"/>
        </w:rPr>
        <w:t>Madrid</w:t>
      </w:r>
      <w:r w:rsidR="00F66195">
        <w:rPr>
          <w:rFonts w:ascii="Georgia" w:hAnsi="Georgia"/>
          <w:lang w:val="es-ES"/>
        </w:rPr>
        <w:t>,</w:t>
      </w:r>
      <w:r w:rsidR="00EE45BD">
        <w:rPr>
          <w:rFonts w:ascii="Georgia" w:hAnsi="Georgia"/>
          <w:lang w:val="es-ES"/>
        </w:rPr>
        <w:t xml:space="preserve"> </w:t>
      </w:r>
      <w:r w:rsidRPr="00D0603F">
        <w:rPr>
          <w:rFonts w:ascii="Georgia" w:hAnsi="Georgia"/>
          <w:lang w:val="es-ES"/>
        </w:rPr>
        <w:t>2016.</w:t>
      </w:r>
    </w:p>
  </w:footnote>
  <w:footnote w:id="12">
    <w:p w14:paraId="292672E3" w14:textId="77777777" w:rsidR="00D0603F" w:rsidRPr="00D0603F" w:rsidRDefault="00D0603F" w:rsidP="00D0603F">
      <w:pPr>
        <w:pStyle w:val="Testonotaapidipagina"/>
        <w:spacing w:line="360" w:lineRule="auto"/>
        <w:jc w:val="both"/>
        <w:rPr>
          <w:rFonts w:ascii="Georgia" w:hAnsi="Georgia"/>
          <w:lang w:val="es-ES"/>
        </w:rPr>
      </w:pPr>
      <w:r w:rsidRPr="00E44434">
        <w:rPr>
          <w:rStyle w:val="Rimandonotaapidipagina"/>
          <w:rFonts w:ascii="Georgia" w:hAnsi="Georgia"/>
        </w:rPr>
        <w:footnoteRef/>
      </w:r>
      <w:r w:rsidR="00EE45BD">
        <w:rPr>
          <w:rFonts w:ascii="Georgia" w:hAnsi="Georgia"/>
          <w:lang w:val="es-ES"/>
        </w:rPr>
        <w:t xml:space="preserve"> </w:t>
      </w:r>
      <w:r w:rsidR="00EE45BD" w:rsidRPr="00EE45BD">
        <w:rPr>
          <w:rFonts w:ascii="Georgia" w:hAnsi="Georgia"/>
          <w:smallCaps/>
          <w:lang w:val="es-ES"/>
        </w:rPr>
        <w:t>F.</w:t>
      </w:r>
      <w:r w:rsidRPr="00EE45BD">
        <w:rPr>
          <w:rFonts w:ascii="Georgia" w:hAnsi="Georgia"/>
          <w:smallCaps/>
          <w:lang w:val="es-ES"/>
        </w:rPr>
        <w:t xml:space="preserve"> Rubio Llorente</w:t>
      </w:r>
      <w:r w:rsidRPr="00D0603F">
        <w:rPr>
          <w:rFonts w:ascii="Georgia" w:hAnsi="Georgia"/>
          <w:lang w:val="es-ES"/>
        </w:rPr>
        <w:t xml:space="preserve">, ‘Una </w:t>
      </w:r>
      <w:proofErr w:type="spellStart"/>
      <w:r w:rsidRPr="00D0603F">
        <w:rPr>
          <w:rFonts w:ascii="Georgia" w:hAnsi="Georgia"/>
          <w:lang w:val="es-ES"/>
        </w:rPr>
        <w:t>impugnaciñon</w:t>
      </w:r>
      <w:proofErr w:type="spellEnd"/>
      <w:r w:rsidRPr="00D0603F">
        <w:rPr>
          <w:rFonts w:ascii="Georgia" w:hAnsi="Georgia"/>
          <w:lang w:val="es-ES"/>
        </w:rPr>
        <w:t xml:space="preserve"> equivocada’, </w:t>
      </w:r>
      <w:r w:rsidRPr="00D0603F">
        <w:rPr>
          <w:rFonts w:ascii="Georgia" w:hAnsi="Georgia"/>
          <w:i/>
          <w:lang w:val="es-ES"/>
        </w:rPr>
        <w:t>El País</w:t>
      </w:r>
      <w:r w:rsidRPr="00D0603F">
        <w:rPr>
          <w:rFonts w:ascii="Georgia" w:hAnsi="Georgia"/>
          <w:lang w:val="es-ES"/>
        </w:rPr>
        <w:t xml:space="preserve">, 8 de </w:t>
      </w:r>
      <w:proofErr w:type="gramStart"/>
      <w:r w:rsidRPr="00D0603F">
        <w:rPr>
          <w:rFonts w:ascii="Georgia" w:hAnsi="Georgia"/>
          <w:lang w:val="es-ES"/>
        </w:rPr>
        <w:t>Noviembre</w:t>
      </w:r>
      <w:proofErr w:type="gramEnd"/>
      <w:r w:rsidRPr="00D0603F">
        <w:rPr>
          <w:rFonts w:ascii="Georgia" w:hAnsi="Georgia"/>
          <w:lang w:val="es-ES"/>
        </w:rPr>
        <w:t xml:space="preserve"> de 2003, </w:t>
      </w:r>
      <w:r w:rsidRPr="005471B2">
        <w:rPr>
          <w:rFonts w:ascii="Georgia" w:hAnsi="Georgia"/>
          <w:lang w:val="es-ES"/>
        </w:rPr>
        <w:t>https://elpais.com/diario/2003/11/08/opinion/1068246007_850215.html</w:t>
      </w:r>
      <w:r w:rsidRPr="00D0603F">
        <w:rPr>
          <w:rFonts w:ascii="Georgia" w:hAnsi="Georgia"/>
          <w:lang w:val="es-ES"/>
        </w:rPr>
        <w:t xml:space="preserve">. </w:t>
      </w:r>
    </w:p>
  </w:footnote>
  <w:footnote w:id="13">
    <w:p w14:paraId="431244B5" w14:textId="77777777" w:rsidR="00D0603F" w:rsidRPr="00D0603F" w:rsidRDefault="00D0603F" w:rsidP="00D0603F">
      <w:pPr>
        <w:pStyle w:val="Testonotaapidipagina"/>
        <w:spacing w:line="360" w:lineRule="auto"/>
        <w:jc w:val="both"/>
        <w:rPr>
          <w:rFonts w:ascii="Georgia" w:hAnsi="Georgia"/>
          <w:lang w:val="es-ES"/>
        </w:rPr>
      </w:pPr>
      <w:r w:rsidRPr="00E44434">
        <w:rPr>
          <w:rStyle w:val="Rimandonotaapidipagina"/>
          <w:rFonts w:ascii="Georgia" w:hAnsi="Georgia"/>
        </w:rPr>
        <w:footnoteRef/>
      </w:r>
      <w:r w:rsidR="00EE45BD">
        <w:rPr>
          <w:rFonts w:ascii="Georgia" w:hAnsi="Georgia"/>
          <w:lang w:val="es-ES"/>
        </w:rPr>
        <w:t xml:space="preserve"> </w:t>
      </w:r>
      <w:r w:rsidR="00EE45BD" w:rsidRPr="00EE45BD">
        <w:rPr>
          <w:rFonts w:ascii="Georgia" w:hAnsi="Georgia"/>
          <w:smallCaps/>
          <w:lang w:val="es-ES"/>
        </w:rPr>
        <w:t>J.</w:t>
      </w:r>
      <w:r w:rsidRPr="00EE45BD">
        <w:rPr>
          <w:rFonts w:ascii="Georgia" w:hAnsi="Georgia"/>
          <w:smallCaps/>
          <w:lang w:val="es-ES"/>
        </w:rPr>
        <w:t xml:space="preserve"> Pérez Royo</w:t>
      </w:r>
      <w:r w:rsidRPr="00D0603F">
        <w:rPr>
          <w:rFonts w:ascii="Georgia" w:hAnsi="Georgia"/>
          <w:lang w:val="es-ES"/>
        </w:rPr>
        <w:t xml:space="preserve">, </w:t>
      </w:r>
      <w:r w:rsidRPr="00D0603F">
        <w:rPr>
          <w:rFonts w:ascii="Georgia" w:hAnsi="Georgia"/>
          <w:i/>
          <w:lang w:val="es-ES"/>
        </w:rPr>
        <w:t>La reforma constitucional inviable,</w:t>
      </w:r>
      <w:r w:rsidRPr="00D0603F">
        <w:rPr>
          <w:rFonts w:ascii="Georgia" w:hAnsi="Georgia"/>
          <w:lang w:val="es-ES"/>
        </w:rPr>
        <w:t xml:space="preserve"> </w:t>
      </w:r>
      <w:r w:rsidR="00EE45BD" w:rsidRPr="00D0603F">
        <w:rPr>
          <w:rFonts w:ascii="Georgia" w:hAnsi="Georgia"/>
          <w:lang w:val="es-ES"/>
        </w:rPr>
        <w:t>Catarata</w:t>
      </w:r>
      <w:r w:rsidR="00EE45BD">
        <w:rPr>
          <w:rFonts w:ascii="Georgia" w:hAnsi="Georgia"/>
          <w:lang w:val="es-ES"/>
        </w:rPr>
        <w:t>,</w:t>
      </w:r>
      <w:r w:rsidR="00EE45BD" w:rsidRPr="00D0603F">
        <w:rPr>
          <w:rFonts w:ascii="Georgia" w:hAnsi="Georgia"/>
          <w:lang w:val="es-ES"/>
        </w:rPr>
        <w:t xml:space="preserve"> </w:t>
      </w:r>
      <w:r w:rsidR="00EE45BD">
        <w:rPr>
          <w:rFonts w:ascii="Georgia" w:hAnsi="Georgia"/>
          <w:lang w:val="es-ES"/>
        </w:rPr>
        <w:t>Madrid</w:t>
      </w:r>
      <w:r w:rsidR="006B5206">
        <w:rPr>
          <w:rFonts w:ascii="Georgia" w:hAnsi="Georgia"/>
          <w:lang w:val="es-ES"/>
        </w:rPr>
        <w:t xml:space="preserve">, </w:t>
      </w:r>
      <w:r w:rsidRPr="00D0603F">
        <w:rPr>
          <w:rFonts w:ascii="Georgia" w:hAnsi="Georgia"/>
          <w:lang w:val="es-ES"/>
        </w:rPr>
        <w:t>2015.</w:t>
      </w:r>
    </w:p>
  </w:footnote>
  <w:footnote w:id="14">
    <w:p w14:paraId="2EE2B037" w14:textId="77777777" w:rsidR="00D0603F" w:rsidRPr="00E44434" w:rsidRDefault="00D0603F" w:rsidP="00D0603F">
      <w:pPr>
        <w:pStyle w:val="Testonotaapidipagina"/>
        <w:spacing w:line="360" w:lineRule="auto"/>
        <w:jc w:val="both"/>
        <w:rPr>
          <w:rFonts w:ascii="Georgia" w:hAnsi="Georgia"/>
          <w:lang w:val="en-GB"/>
        </w:rPr>
      </w:pPr>
      <w:r w:rsidRPr="00E44434">
        <w:rPr>
          <w:rStyle w:val="Rimandonotaapidipagina"/>
          <w:rFonts w:ascii="Georgia" w:hAnsi="Georgia"/>
        </w:rPr>
        <w:footnoteRef/>
      </w:r>
      <w:r w:rsidRPr="00E44434">
        <w:rPr>
          <w:rFonts w:ascii="Georgia" w:hAnsi="Georgia"/>
          <w:lang w:val="en-GB"/>
        </w:rPr>
        <w:t xml:space="preserve"> </w:t>
      </w:r>
      <w:proofErr w:type="spellStart"/>
      <w:r w:rsidRPr="00E44434">
        <w:rPr>
          <w:rFonts w:ascii="Georgia" w:hAnsi="Georgia"/>
          <w:lang w:val="en-GB"/>
        </w:rPr>
        <w:t>Remito</w:t>
      </w:r>
      <w:proofErr w:type="spellEnd"/>
      <w:r w:rsidRPr="00E44434">
        <w:rPr>
          <w:rFonts w:ascii="Georgia" w:hAnsi="Georgia"/>
          <w:lang w:val="en-GB"/>
        </w:rPr>
        <w:t xml:space="preserve"> a</w:t>
      </w:r>
      <w:r w:rsidR="00F20FB4">
        <w:rPr>
          <w:rFonts w:ascii="Georgia" w:hAnsi="Georgia"/>
          <w:lang w:val="en-GB"/>
        </w:rPr>
        <w:t>:</w:t>
      </w:r>
      <w:r w:rsidRPr="00E44434">
        <w:rPr>
          <w:rFonts w:ascii="Georgia" w:hAnsi="Georgia"/>
          <w:lang w:val="en-GB"/>
        </w:rPr>
        <w:t xml:space="preserve"> </w:t>
      </w:r>
      <w:r w:rsidRPr="00E44434">
        <w:rPr>
          <w:rFonts w:ascii="Georgia" w:hAnsi="Georgia"/>
          <w:i/>
          <w:lang w:val="en-GB"/>
        </w:rPr>
        <w:t>The Existential Crisis of the European Union</w:t>
      </w:r>
      <w:r w:rsidRPr="00E44434">
        <w:rPr>
          <w:rFonts w:ascii="Georgia" w:hAnsi="Georgia"/>
          <w:lang w:val="en-GB"/>
        </w:rPr>
        <w:t>,</w:t>
      </w:r>
      <w:r w:rsidR="00EE45BD">
        <w:rPr>
          <w:rFonts w:ascii="Georgia" w:hAnsi="Georgia"/>
          <w:lang w:val="en-GB"/>
        </w:rPr>
        <w:t xml:space="preserve"> in</w:t>
      </w:r>
      <w:r w:rsidRPr="00E44434">
        <w:rPr>
          <w:rFonts w:ascii="Georgia" w:hAnsi="Georgia"/>
          <w:lang w:val="en-GB"/>
        </w:rPr>
        <w:t xml:space="preserve"> </w:t>
      </w:r>
      <w:r w:rsidRPr="00E44434">
        <w:rPr>
          <w:rFonts w:ascii="Georgia" w:hAnsi="Georgia"/>
          <w:i/>
          <w:lang w:val="en-GB"/>
        </w:rPr>
        <w:t>German Law Journal</w:t>
      </w:r>
      <w:r w:rsidR="00EE45BD">
        <w:rPr>
          <w:rFonts w:ascii="Georgia" w:hAnsi="Georgia"/>
          <w:lang w:val="en-GB"/>
        </w:rPr>
        <w:t>, 14/2013,</w:t>
      </w:r>
      <w:r w:rsidR="00EE45BD" w:rsidRPr="00E44434">
        <w:rPr>
          <w:rFonts w:ascii="Georgia" w:hAnsi="Georgia"/>
          <w:lang w:val="en-GB"/>
        </w:rPr>
        <w:t xml:space="preserve"> </w:t>
      </w:r>
      <w:r w:rsidRPr="00E44434">
        <w:rPr>
          <w:rFonts w:ascii="Georgia" w:hAnsi="Georgia"/>
          <w:lang w:val="en-GB"/>
        </w:rPr>
        <w:t>453-256; y ‘A European Union in Constitutional Mutation’,</w:t>
      </w:r>
      <w:r w:rsidR="00EE45BD">
        <w:rPr>
          <w:rFonts w:ascii="Georgia" w:hAnsi="Georgia"/>
          <w:lang w:val="en-GB"/>
        </w:rPr>
        <w:t xml:space="preserve"> in</w:t>
      </w:r>
      <w:r w:rsidRPr="00E44434">
        <w:rPr>
          <w:rFonts w:ascii="Georgia" w:hAnsi="Georgia"/>
          <w:lang w:val="en-GB"/>
        </w:rPr>
        <w:t xml:space="preserve"> </w:t>
      </w:r>
      <w:r w:rsidRPr="00E44434">
        <w:rPr>
          <w:rFonts w:ascii="Georgia" w:hAnsi="Georgia"/>
          <w:i/>
          <w:lang w:val="en-GB"/>
        </w:rPr>
        <w:t>European Law Journal</w:t>
      </w:r>
      <w:r w:rsidRPr="00E44434">
        <w:rPr>
          <w:rFonts w:ascii="Georgia" w:hAnsi="Georgia"/>
          <w:lang w:val="en-GB"/>
        </w:rPr>
        <w:t xml:space="preserve">, </w:t>
      </w:r>
      <w:r w:rsidR="00EE45BD" w:rsidRPr="00E44434">
        <w:rPr>
          <w:rFonts w:ascii="Georgia" w:hAnsi="Georgia"/>
          <w:lang w:val="en-GB"/>
        </w:rPr>
        <w:t>21</w:t>
      </w:r>
      <w:r w:rsidR="00EE45BD">
        <w:rPr>
          <w:rFonts w:ascii="Georgia" w:hAnsi="Georgia"/>
          <w:lang w:val="en-GB"/>
        </w:rPr>
        <w:t xml:space="preserve">/2014, </w:t>
      </w:r>
      <w:r w:rsidRPr="00E44434">
        <w:rPr>
          <w:rFonts w:ascii="Georgia" w:hAnsi="Georgia"/>
          <w:lang w:val="en-GB"/>
        </w:rPr>
        <w:t>127-141.</w:t>
      </w:r>
    </w:p>
  </w:footnote>
  <w:footnote w:id="15">
    <w:p w14:paraId="498F0D5D" w14:textId="77777777" w:rsidR="00D0603F" w:rsidRPr="00D0603F" w:rsidRDefault="00D0603F" w:rsidP="00D0603F">
      <w:pPr>
        <w:pStyle w:val="Testonotaapidipagina"/>
        <w:spacing w:line="360" w:lineRule="auto"/>
        <w:jc w:val="both"/>
        <w:rPr>
          <w:rFonts w:ascii="Georgia" w:hAnsi="Georgia"/>
          <w:lang w:val="es-ES"/>
        </w:rPr>
      </w:pPr>
      <w:r w:rsidRPr="00E44434">
        <w:rPr>
          <w:rStyle w:val="Rimandonotaapidipagina"/>
          <w:rFonts w:ascii="Georgia" w:hAnsi="Georgia"/>
        </w:rPr>
        <w:footnoteRef/>
      </w:r>
      <w:r w:rsidR="00EE45BD">
        <w:rPr>
          <w:rFonts w:ascii="Georgia" w:hAnsi="Georgia"/>
          <w:lang w:val="es-ES"/>
        </w:rPr>
        <w:t xml:space="preserve"> </w:t>
      </w:r>
      <w:r w:rsidR="00EE45BD" w:rsidRPr="00EE45BD">
        <w:rPr>
          <w:rFonts w:ascii="Georgia" w:hAnsi="Georgia"/>
          <w:smallCaps/>
          <w:lang w:val="es-ES"/>
        </w:rPr>
        <w:t>F.</w:t>
      </w:r>
      <w:r w:rsidRPr="00EE45BD">
        <w:rPr>
          <w:rFonts w:ascii="Georgia" w:hAnsi="Georgia"/>
          <w:smallCaps/>
          <w:lang w:val="es-ES"/>
        </w:rPr>
        <w:t xml:space="preserve"> Rubio Llorente</w:t>
      </w:r>
      <w:r w:rsidRPr="00D0603F">
        <w:rPr>
          <w:rFonts w:ascii="Georgia" w:hAnsi="Georgia"/>
          <w:lang w:val="es-ES"/>
        </w:rPr>
        <w:t xml:space="preserve"> (ed.) </w:t>
      </w:r>
      <w:r w:rsidRPr="00D0603F">
        <w:rPr>
          <w:rStyle w:val="titulo"/>
          <w:rFonts w:ascii="Georgia" w:hAnsi="Georgia"/>
          <w:i/>
          <w:lang w:val="es-ES"/>
        </w:rPr>
        <w:t xml:space="preserve">El informe del Consejo de Estado </w:t>
      </w:r>
      <w:r w:rsidR="00EE45BD">
        <w:rPr>
          <w:rStyle w:val="titulo"/>
          <w:rFonts w:ascii="Georgia" w:hAnsi="Georgia"/>
          <w:i/>
          <w:lang w:val="es-ES"/>
        </w:rPr>
        <w:t>sobre la reforma constitucional</w:t>
      </w:r>
      <w:r w:rsidRPr="00D0603F">
        <w:rPr>
          <w:rStyle w:val="titulo"/>
          <w:rFonts w:ascii="Georgia" w:hAnsi="Georgia"/>
          <w:i/>
          <w:lang w:val="es-ES"/>
        </w:rPr>
        <w:t>: texto del informe y debates académicos</w:t>
      </w:r>
      <w:r w:rsidRPr="00D0603F">
        <w:rPr>
          <w:rFonts w:ascii="Georgia" w:hAnsi="Georgia"/>
          <w:i/>
          <w:lang w:val="es-ES"/>
        </w:rPr>
        <w:t>,</w:t>
      </w:r>
      <w:r w:rsidRPr="00D0603F">
        <w:rPr>
          <w:rFonts w:ascii="Georgia" w:hAnsi="Georgia"/>
          <w:lang w:val="es-ES"/>
        </w:rPr>
        <w:t xml:space="preserve"> Centro de Estudios Políticos y Constitucionales, </w:t>
      </w:r>
      <w:r w:rsidR="00EE45BD">
        <w:rPr>
          <w:rFonts w:ascii="Georgia" w:hAnsi="Georgia"/>
          <w:lang w:val="es-ES"/>
        </w:rPr>
        <w:t>Madrid</w:t>
      </w:r>
      <w:r w:rsidR="006B5206">
        <w:rPr>
          <w:rFonts w:ascii="Georgia" w:hAnsi="Georgia"/>
          <w:lang w:val="es-ES"/>
        </w:rPr>
        <w:t>,</w:t>
      </w:r>
      <w:r w:rsidR="00EE45BD">
        <w:rPr>
          <w:rFonts w:ascii="Georgia" w:hAnsi="Georgia"/>
          <w:lang w:val="es-ES"/>
        </w:rPr>
        <w:t xml:space="preserve"> </w:t>
      </w:r>
      <w:r w:rsidRPr="00D0603F">
        <w:rPr>
          <w:rFonts w:ascii="Georgia" w:hAnsi="Georgia"/>
          <w:lang w:val="es-ES"/>
        </w:rPr>
        <w:t>2006.</w:t>
      </w:r>
    </w:p>
  </w:footnote>
  <w:footnote w:id="16">
    <w:p w14:paraId="10008B65" w14:textId="77777777" w:rsidR="00D0603F" w:rsidRPr="00D0603F" w:rsidRDefault="00D0603F" w:rsidP="00D0603F">
      <w:pPr>
        <w:pStyle w:val="Testonotaapidipagina"/>
        <w:spacing w:line="360" w:lineRule="auto"/>
        <w:jc w:val="both"/>
        <w:rPr>
          <w:rFonts w:ascii="Georgia" w:hAnsi="Georgia"/>
          <w:lang w:val="es-ES"/>
        </w:rPr>
      </w:pPr>
      <w:r w:rsidRPr="00E44434">
        <w:rPr>
          <w:rStyle w:val="Rimandonotaapidipagina"/>
          <w:rFonts w:ascii="Georgia" w:hAnsi="Georgia"/>
        </w:rPr>
        <w:footnoteRef/>
      </w:r>
      <w:r w:rsidR="00EE45BD">
        <w:rPr>
          <w:rFonts w:ascii="Georgia" w:hAnsi="Georgia"/>
          <w:lang w:val="es-ES"/>
        </w:rPr>
        <w:t xml:space="preserve"> </w:t>
      </w:r>
      <w:r w:rsidR="00EE45BD" w:rsidRPr="00EE45BD">
        <w:rPr>
          <w:rFonts w:ascii="Georgia" w:hAnsi="Georgia"/>
          <w:smallCaps/>
          <w:lang w:val="es-ES"/>
        </w:rPr>
        <w:t>F.</w:t>
      </w:r>
      <w:r w:rsidRPr="00EE45BD">
        <w:rPr>
          <w:rFonts w:ascii="Georgia" w:hAnsi="Georgia"/>
          <w:smallCaps/>
          <w:lang w:val="es-ES"/>
        </w:rPr>
        <w:t xml:space="preserve"> Rubio Llorente</w:t>
      </w:r>
      <w:r w:rsidRPr="00D0603F">
        <w:rPr>
          <w:rFonts w:ascii="Georgia" w:hAnsi="Georgia"/>
          <w:lang w:val="es-ES"/>
        </w:rPr>
        <w:t xml:space="preserve">, “Un referéndum para Cataluña”, </w:t>
      </w:r>
      <w:r w:rsidRPr="00D0603F">
        <w:rPr>
          <w:rFonts w:ascii="Georgia" w:hAnsi="Georgia"/>
          <w:i/>
          <w:lang w:val="es-ES"/>
        </w:rPr>
        <w:t>El País</w:t>
      </w:r>
      <w:r w:rsidRPr="00D0603F">
        <w:rPr>
          <w:rFonts w:ascii="Georgia" w:hAnsi="Georgia"/>
          <w:lang w:val="es-ES"/>
        </w:rPr>
        <w:t xml:space="preserve">, 8 de </w:t>
      </w:r>
      <w:proofErr w:type="gramStart"/>
      <w:r w:rsidRPr="00D0603F">
        <w:rPr>
          <w:rFonts w:ascii="Georgia" w:hAnsi="Georgia"/>
          <w:lang w:val="es-ES"/>
        </w:rPr>
        <w:t>Octubre</w:t>
      </w:r>
      <w:proofErr w:type="gramEnd"/>
      <w:r w:rsidRPr="00D0603F">
        <w:rPr>
          <w:rFonts w:ascii="Georgia" w:hAnsi="Georgia"/>
          <w:lang w:val="es-ES"/>
        </w:rPr>
        <w:t xml:space="preserve"> de 2012, </w:t>
      </w:r>
      <w:r w:rsidRPr="00E91A55">
        <w:rPr>
          <w:rFonts w:ascii="Georgia" w:hAnsi="Georgia"/>
          <w:lang w:val="es-ES"/>
        </w:rPr>
        <w:t>https://elpais.com/elpais/2012/10/03/opinion/1349256731_659435.html</w:t>
      </w:r>
      <w:r w:rsidR="00E91A55">
        <w:rPr>
          <w:rFonts w:ascii="Georgia" w:hAnsi="Georgia"/>
          <w:lang w:val="es-ES"/>
        </w:rPr>
        <w:t>.</w:t>
      </w:r>
      <w:r w:rsidRPr="00D0603F">
        <w:rPr>
          <w:rFonts w:ascii="Georgia" w:hAnsi="Georgia"/>
          <w:lang w:val="es-E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D02A" w14:textId="77777777" w:rsidR="000851E6" w:rsidRDefault="000851E6" w:rsidP="000851E6">
    <w:pPr>
      <w:pStyle w:val="Intestazione"/>
      <w:jc w:val="center"/>
    </w:pPr>
    <w:r w:rsidRPr="00C469A9">
      <w:rPr>
        <w:rFonts w:ascii="Times New Roman" w:hAnsi="Times New Roman"/>
        <w:noProof/>
        <w:sz w:val="24"/>
        <w:szCs w:val="24"/>
        <w:lang w:eastAsia="it-IT"/>
      </w:rPr>
      <w:drawing>
        <wp:inline distT="0" distB="0" distL="0" distR="0" wp14:anchorId="3D5F66B0" wp14:editId="0FF355F1">
          <wp:extent cx="2258060" cy="628015"/>
          <wp:effectExtent l="0" t="0" r="889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628015"/>
                  </a:xfrm>
                  <a:prstGeom prst="rect">
                    <a:avLst/>
                  </a:prstGeom>
                  <a:noFill/>
                  <a:ln>
                    <a:noFill/>
                  </a:ln>
                </pic:spPr>
              </pic:pic>
            </a:graphicData>
          </a:graphic>
        </wp:inline>
      </w:drawing>
    </w:r>
  </w:p>
  <w:p w14:paraId="2D84B4CC" w14:textId="77777777" w:rsidR="000851E6" w:rsidRPr="001613BF" w:rsidRDefault="009958FD" w:rsidP="000851E6">
    <w:pPr>
      <w:pStyle w:val="Intestazione"/>
      <w:jc w:val="center"/>
      <w:rPr>
        <w:rFonts w:ascii="Georgia" w:hAnsi="Georgia"/>
      </w:rPr>
    </w:pPr>
    <w:r w:rsidRPr="001613BF">
      <w:rPr>
        <w:rFonts w:ascii="Georgia" w:hAnsi="Georgia"/>
      </w:rPr>
      <w:t>n. 2/2017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78AF0" w14:textId="77777777" w:rsidR="00FB5EAA" w:rsidRPr="00FB5EAA" w:rsidRDefault="00D0603F" w:rsidP="00FB5EAA">
    <w:pPr>
      <w:spacing w:after="0" w:line="360" w:lineRule="auto"/>
      <w:jc w:val="center"/>
      <w:rPr>
        <w:rFonts w:ascii="Georgia" w:hAnsi="Georgia"/>
        <w:smallCaps/>
      </w:rPr>
    </w:pPr>
    <w:proofErr w:type="spellStart"/>
    <w:r>
      <w:rPr>
        <w:rFonts w:ascii="Georgia" w:hAnsi="Georgia"/>
        <w:smallCaps/>
      </w:rPr>
      <w:t>Augustín</w:t>
    </w:r>
    <w:proofErr w:type="spellEnd"/>
    <w:r>
      <w:rPr>
        <w:rFonts w:ascii="Georgia" w:hAnsi="Georgia"/>
        <w:smallCaps/>
      </w:rPr>
      <w:t xml:space="preserve"> José </w:t>
    </w:r>
    <w:proofErr w:type="spellStart"/>
    <w:r>
      <w:rPr>
        <w:rFonts w:ascii="Georgia" w:hAnsi="Georgia"/>
        <w:smallCaps/>
      </w:rPr>
      <w:t>Menéndez</w:t>
    </w:r>
    <w:proofErr w:type="spellEnd"/>
  </w:p>
  <w:p w14:paraId="49AA0C47" w14:textId="77777777" w:rsidR="00B04C26" w:rsidRPr="00FB5EAA" w:rsidRDefault="00B04C26" w:rsidP="00FB5EA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856A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E0AC398"/>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16A5344"/>
    <w:multiLevelType w:val="hybridMultilevel"/>
    <w:tmpl w:val="E89C35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E010D9"/>
    <w:multiLevelType w:val="hybridMultilevel"/>
    <w:tmpl w:val="0B1A2512"/>
    <w:lvl w:ilvl="0" w:tplc="9796F12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ADE0956"/>
    <w:multiLevelType w:val="hybridMultilevel"/>
    <w:tmpl w:val="EDFEBFCC"/>
    <w:lvl w:ilvl="0" w:tplc="A55AE766">
      <w:start w:val="1"/>
      <w:numFmt w:val="decimal"/>
      <w:lvlText w:val="%1."/>
      <w:lvlJc w:val="left"/>
      <w:pPr>
        <w:ind w:left="717" w:hanging="360"/>
      </w:pPr>
      <w:rPr>
        <w:rFonts w:hint="default"/>
        <w:b w:val="0"/>
        <w:sz w:val="24"/>
        <w:szCs w:val="24"/>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6">
    <w:nsid w:val="44232C54"/>
    <w:multiLevelType w:val="hybridMultilevel"/>
    <w:tmpl w:val="96CA6F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DAF55C6"/>
    <w:multiLevelType w:val="hybridMultilevel"/>
    <w:tmpl w:val="D540981A"/>
    <w:lvl w:ilvl="0" w:tplc="0410000F">
      <w:start w:val="1"/>
      <w:numFmt w:val="decimal"/>
      <w:pStyle w:val="Titolo1"/>
      <w:lvlText w:val="%1."/>
      <w:lvlJc w:val="left"/>
      <w:pPr>
        <w:ind w:left="720" w:hanging="360"/>
      </w:pPr>
      <w:rPr>
        <w:rFonts w:hint="default"/>
      </w:rPr>
    </w:lvl>
    <w:lvl w:ilvl="1" w:tplc="04100019" w:tentative="1">
      <w:start w:val="1"/>
      <w:numFmt w:val="lowerLetter"/>
      <w:pStyle w:val="Titolo2"/>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C0D0CF0"/>
    <w:multiLevelType w:val="hybridMultilevel"/>
    <w:tmpl w:val="F02EDF62"/>
    <w:lvl w:ilvl="0" w:tplc="771845D6">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7"/>
  </w:num>
  <w:num w:numId="2">
    <w:abstractNumId w:val="6"/>
  </w:num>
  <w:num w:numId="3">
    <w:abstractNumId w:val="4"/>
  </w:num>
  <w:num w:numId="4">
    <w:abstractNumId w:val="3"/>
  </w:num>
  <w:num w:numId="5">
    <w:abstractNumId w:val="2"/>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FB"/>
    <w:rsid w:val="00002647"/>
    <w:rsid w:val="00012C9D"/>
    <w:rsid w:val="00015642"/>
    <w:rsid w:val="000329D9"/>
    <w:rsid w:val="00033BD9"/>
    <w:rsid w:val="000472A5"/>
    <w:rsid w:val="0005027F"/>
    <w:rsid w:val="00054FDD"/>
    <w:rsid w:val="00060F2F"/>
    <w:rsid w:val="00062BC2"/>
    <w:rsid w:val="00072F9F"/>
    <w:rsid w:val="0008476F"/>
    <w:rsid w:val="000851E6"/>
    <w:rsid w:val="0008713D"/>
    <w:rsid w:val="000A1BE2"/>
    <w:rsid w:val="000C13F8"/>
    <w:rsid w:val="000C44E3"/>
    <w:rsid w:val="000C6CB0"/>
    <w:rsid w:val="000D3BD5"/>
    <w:rsid w:val="000D4707"/>
    <w:rsid w:val="000D7A12"/>
    <w:rsid w:val="000E227D"/>
    <w:rsid w:val="000F3449"/>
    <w:rsid w:val="000F57E3"/>
    <w:rsid w:val="001042C3"/>
    <w:rsid w:val="00116B77"/>
    <w:rsid w:val="00122671"/>
    <w:rsid w:val="00122ED7"/>
    <w:rsid w:val="00124032"/>
    <w:rsid w:val="0013439D"/>
    <w:rsid w:val="001360E1"/>
    <w:rsid w:val="00142645"/>
    <w:rsid w:val="0015508B"/>
    <w:rsid w:val="001613BF"/>
    <w:rsid w:val="00162314"/>
    <w:rsid w:val="00171415"/>
    <w:rsid w:val="00177D7A"/>
    <w:rsid w:val="001A5D6F"/>
    <w:rsid w:val="001C4EC1"/>
    <w:rsid w:val="001C618B"/>
    <w:rsid w:val="001C6869"/>
    <w:rsid w:val="001D1FE0"/>
    <w:rsid w:val="001D2956"/>
    <w:rsid w:val="001F1BDB"/>
    <w:rsid w:val="001F20D7"/>
    <w:rsid w:val="0020145E"/>
    <w:rsid w:val="00215341"/>
    <w:rsid w:val="00215DFB"/>
    <w:rsid w:val="002202BD"/>
    <w:rsid w:val="00234190"/>
    <w:rsid w:val="00244EF5"/>
    <w:rsid w:val="0026184A"/>
    <w:rsid w:val="00275312"/>
    <w:rsid w:val="00281ED3"/>
    <w:rsid w:val="00281F24"/>
    <w:rsid w:val="002908A0"/>
    <w:rsid w:val="00296479"/>
    <w:rsid w:val="002965DD"/>
    <w:rsid w:val="002A0E29"/>
    <w:rsid w:val="002C12EB"/>
    <w:rsid w:val="002C2290"/>
    <w:rsid w:val="002C64CA"/>
    <w:rsid w:val="002D02F2"/>
    <w:rsid w:val="002D61F3"/>
    <w:rsid w:val="002D6370"/>
    <w:rsid w:val="002E5FBE"/>
    <w:rsid w:val="002E7A2F"/>
    <w:rsid w:val="002F7CD9"/>
    <w:rsid w:val="00315B4C"/>
    <w:rsid w:val="00316298"/>
    <w:rsid w:val="00321468"/>
    <w:rsid w:val="00333F08"/>
    <w:rsid w:val="00341D09"/>
    <w:rsid w:val="00342FCF"/>
    <w:rsid w:val="003446F3"/>
    <w:rsid w:val="003459F9"/>
    <w:rsid w:val="00363AF0"/>
    <w:rsid w:val="00381656"/>
    <w:rsid w:val="003A3C67"/>
    <w:rsid w:val="003A49F3"/>
    <w:rsid w:val="003B78CE"/>
    <w:rsid w:val="003C21B7"/>
    <w:rsid w:val="003C56DF"/>
    <w:rsid w:val="003D027C"/>
    <w:rsid w:val="003D52C6"/>
    <w:rsid w:val="003E6892"/>
    <w:rsid w:val="003F2B08"/>
    <w:rsid w:val="003F5CEA"/>
    <w:rsid w:val="00401ADC"/>
    <w:rsid w:val="00402C02"/>
    <w:rsid w:val="00404BEA"/>
    <w:rsid w:val="0041299C"/>
    <w:rsid w:val="0042422F"/>
    <w:rsid w:val="0042660D"/>
    <w:rsid w:val="00435839"/>
    <w:rsid w:val="004417F1"/>
    <w:rsid w:val="004512C4"/>
    <w:rsid w:val="00463371"/>
    <w:rsid w:val="00476810"/>
    <w:rsid w:val="004A159D"/>
    <w:rsid w:val="004A1F14"/>
    <w:rsid w:val="004A6E93"/>
    <w:rsid w:val="004B5E5C"/>
    <w:rsid w:val="004B7767"/>
    <w:rsid w:val="004C1E67"/>
    <w:rsid w:val="004D14E3"/>
    <w:rsid w:val="004E78B2"/>
    <w:rsid w:val="004F3DE3"/>
    <w:rsid w:val="00502C68"/>
    <w:rsid w:val="00502D29"/>
    <w:rsid w:val="005042DD"/>
    <w:rsid w:val="005061F0"/>
    <w:rsid w:val="005074AC"/>
    <w:rsid w:val="00511984"/>
    <w:rsid w:val="00517B8D"/>
    <w:rsid w:val="005347A8"/>
    <w:rsid w:val="00535D8C"/>
    <w:rsid w:val="00542748"/>
    <w:rsid w:val="005471B2"/>
    <w:rsid w:val="00552315"/>
    <w:rsid w:val="00556700"/>
    <w:rsid w:val="00566FAF"/>
    <w:rsid w:val="00576C0C"/>
    <w:rsid w:val="00584A36"/>
    <w:rsid w:val="005A07EE"/>
    <w:rsid w:val="005B0316"/>
    <w:rsid w:val="005B0DC7"/>
    <w:rsid w:val="005B6DAD"/>
    <w:rsid w:val="005D39D4"/>
    <w:rsid w:val="005E1752"/>
    <w:rsid w:val="005E4BE7"/>
    <w:rsid w:val="005E64ED"/>
    <w:rsid w:val="00605014"/>
    <w:rsid w:val="0060763D"/>
    <w:rsid w:val="00611EFF"/>
    <w:rsid w:val="00614567"/>
    <w:rsid w:val="0061561C"/>
    <w:rsid w:val="00617CC1"/>
    <w:rsid w:val="0062037B"/>
    <w:rsid w:val="0062390A"/>
    <w:rsid w:val="006246A7"/>
    <w:rsid w:val="006311AB"/>
    <w:rsid w:val="006450D6"/>
    <w:rsid w:val="00651AC6"/>
    <w:rsid w:val="0065328B"/>
    <w:rsid w:val="00655587"/>
    <w:rsid w:val="00655F88"/>
    <w:rsid w:val="006647AF"/>
    <w:rsid w:val="00665B06"/>
    <w:rsid w:val="00684DFD"/>
    <w:rsid w:val="00692221"/>
    <w:rsid w:val="006B5206"/>
    <w:rsid w:val="006C308D"/>
    <w:rsid w:val="006C7644"/>
    <w:rsid w:val="006D14CD"/>
    <w:rsid w:val="006D6E48"/>
    <w:rsid w:val="006E4FC9"/>
    <w:rsid w:val="006E57B8"/>
    <w:rsid w:val="006E615E"/>
    <w:rsid w:val="00723BFE"/>
    <w:rsid w:val="00730C4B"/>
    <w:rsid w:val="00735CC1"/>
    <w:rsid w:val="0074544B"/>
    <w:rsid w:val="00747088"/>
    <w:rsid w:val="00751713"/>
    <w:rsid w:val="0075442B"/>
    <w:rsid w:val="0075665F"/>
    <w:rsid w:val="00765BA0"/>
    <w:rsid w:val="007831F9"/>
    <w:rsid w:val="00785162"/>
    <w:rsid w:val="00787781"/>
    <w:rsid w:val="007A72BD"/>
    <w:rsid w:val="007B2D9B"/>
    <w:rsid w:val="007C2BC1"/>
    <w:rsid w:val="007C63E8"/>
    <w:rsid w:val="007C6CD6"/>
    <w:rsid w:val="007E4C5E"/>
    <w:rsid w:val="007E7AA6"/>
    <w:rsid w:val="008041F3"/>
    <w:rsid w:val="00825B68"/>
    <w:rsid w:val="00827747"/>
    <w:rsid w:val="00827C9C"/>
    <w:rsid w:val="00830F46"/>
    <w:rsid w:val="00831180"/>
    <w:rsid w:val="0083244C"/>
    <w:rsid w:val="00836A67"/>
    <w:rsid w:val="00852325"/>
    <w:rsid w:val="0085588E"/>
    <w:rsid w:val="00862D2D"/>
    <w:rsid w:val="0086325F"/>
    <w:rsid w:val="00874111"/>
    <w:rsid w:val="00875DA3"/>
    <w:rsid w:val="00880CC6"/>
    <w:rsid w:val="00884621"/>
    <w:rsid w:val="0088784E"/>
    <w:rsid w:val="008A401E"/>
    <w:rsid w:val="008A475B"/>
    <w:rsid w:val="008C172D"/>
    <w:rsid w:val="008C653C"/>
    <w:rsid w:val="008D3AD9"/>
    <w:rsid w:val="008F4991"/>
    <w:rsid w:val="0091143D"/>
    <w:rsid w:val="00926386"/>
    <w:rsid w:val="009333E5"/>
    <w:rsid w:val="00942FA6"/>
    <w:rsid w:val="0094616C"/>
    <w:rsid w:val="00972A83"/>
    <w:rsid w:val="00990F50"/>
    <w:rsid w:val="009932A9"/>
    <w:rsid w:val="009958FD"/>
    <w:rsid w:val="00997FDC"/>
    <w:rsid w:val="009B0B4C"/>
    <w:rsid w:val="009B0EBE"/>
    <w:rsid w:val="009B3445"/>
    <w:rsid w:val="009B625B"/>
    <w:rsid w:val="009B6920"/>
    <w:rsid w:val="009D1391"/>
    <w:rsid w:val="009D4F5A"/>
    <w:rsid w:val="009D7A90"/>
    <w:rsid w:val="009E0F52"/>
    <w:rsid w:val="009E1279"/>
    <w:rsid w:val="009E2C21"/>
    <w:rsid w:val="009F1F30"/>
    <w:rsid w:val="009F291E"/>
    <w:rsid w:val="009F7437"/>
    <w:rsid w:val="009F7794"/>
    <w:rsid w:val="00A07CFB"/>
    <w:rsid w:val="00A13BB8"/>
    <w:rsid w:val="00A15229"/>
    <w:rsid w:val="00A23DFB"/>
    <w:rsid w:val="00A30CAC"/>
    <w:rsid w:val="00A439B6"/>
    <w:rsid w:val="00A47379"/>
    <w:rsid w:val="00A53953"/>
    <w:rsid w:val="00A64BB6"/>
    <w:rsid w:val="00A70176"/>
    <w:rsid w:val="00A8642D"/>
    <w:rsid w:val="00A87A5C"/>
    <w:rsid w:val="00AA3DB8"/>
    <w:rsid w:val="00AD4F9D"/>
    <w:rsid w:val="00AE087B"/>
    <w:rsid w:val="00AE2BD0"/>
    <w:rsid w:val="00AE7626"/>
    <w:rsid w:val="00AF19A6"/>
    <w:rsid w:val="00AF5A6A"/>
    <w:rsid w:val="00B00597"/>
    <w:rsid w:val="00B03DC0"/>
    <w:rsid w:val="00B04C26"/>
    <w:rsid w:val="00B1641D"/>
    <w:rsid w:val="00B26576"/>
    <w:rsid w:val="00B3339F"/>
    <w:rsid w:val="00B43F84"/>
    <w:rsid w:val="00B60D9A"/>
    <w:rsid w:val="00B6792A"/>
    <w:rsid w:val="00B710CF"/>
    <w:rsid w:val="00B72DBB"/>
    <w:rsid w:val="00B7726F"/>
    <w:rsid w:val="00B82B6D"/>
    <w:rsid w:val="00B86C3C"/>
    <w:rsid w:val="00B86DF9"/>
    <w:rsid w:val="00B87E35"/>
    <w:rsid w:val="00B92DF1"/>
    <w:rsid w:val="00B97776"/>
    <w:rsid w:val="00BA0863"/>
    <w:rsid w:val="00BA7E5B"/>
    <w:rsid w:val="00BB2D15"/>
    <w:rsid w:val="00BC4C15"/>
    <w:rsid w:val="00BC5903"/>
    <w:rsid w:val="00BC6ADE"/>
    <w:rsid w:val="00BD0990"/>
    <w:rsid w:val="00BE0BE3"/>
    <w:rsid w:val="00BE2DFC"/>
    <w:rsid w:val="00BF468B"/>
    <w:rsid w:val="00C208BE"/>
    <w:rsid w:val="00C31AB3"/>
    <w:rsid w:val="00C36F7C"/>
    <w:rsid w:val="00C4672B"/>
    <w:rsid w:val="00C469A9"/>
    <w:rsid w:val="00C47307"/>
    <w:rsid w:val="00C643BB"/>
    <w:rsid w:val="00C66C13"/>
    <w:rsid w:val="00C751EB"/>
    <w:rsid w:val="00C75DAD"/>
    <w:rsid w:val="00C775EE"/>
    <w:rsid w:val="00C8158C"/>
    <w:rsid w:val="00C82AB8"/>
    <w:rsid w:val="00C9068F"/>
    <w:rsid w:val="00C92A5C"/>
    <w:rsid w:val="00C960ED"/>
    <w:rsid w:val="00CA1C6E"/>
    <w:rsid w:val="00CA2A0C"/>
    <w:rsid w:val="00CB4508"/>
    <w:rsid w:val="00CB474B"/>
    <w:rsid w:val="00CB67EB"/>
    <w:rsid w:val="00CC146D"/>
    <w:rsid w:val="00CC1977"/>
    <w:rsid w:val="00CC535A"/>
    <w:rsid w:val="00CD0FC4"/>
    <w:rsid w:val="00CD21D2"/>
    <w:rsid w:val="00CD6297"/>
    <w:rsid w:val="00CE3115"/>
    <w:rsid w:val="00CF489D"/>
    <w:rsid w:val="00CF7497"/>
    <w:rsid w:val="00CF797F"/>
    <w:rsid w:val="00D020D3"/>
    <w:rsid w:val="00D0603F"/>
    <w:rsid w:val="00D16E52"/>
    <w:rsid w:val="00D30B4B"/>
    <w:rsid w:val="00D35188"/>
    <w:rsid w:val="00D36E21"/>
    <w:rsid w:val="00D41BE2"/>
    <w:rsid w:val="00D6321C"/>
    <w:rsid w:val="00D66E19"/>
    <w:rsid w:val="00D6797C"/>
    <w:rsid w:val="00D87744"/>
    <w:rsid w:val="00DA3939"/>
    <w:rsid w:val="00DA4772"/>
    <w:rsid w:val="00DC50BF"/>
    <w:rsid w:val="00DD05B6"/>
    <w:rsid w:val="00DD5503"/>
    <w:rsid w:val="00DD5E87"/>
    <w:rsid w:val="00DD7AB3"/>
    <w:rsid w:val="00DF02B2"/>
    <w:rsid w:val="00E06F57"/>
    <w:rsid w:val="00E12BD9"/>
    <w:rsid w:val="00E12E12"/>
    <w:rsid w:val="00E15BFE"/>
    <w:rsid w:val="00E163C7"/>
    <w:rsid w:val="00E25705"/>
    <w:rsid w:val="00E2605D"/>
    <w:rsid w:val="00E2618D"/>
    <w:rsid w:val="00E31D78"/>
    <w:rsid w:val="00E3414D"/>
    <w:rsid w:val="00E45382"/>
    <w:rsid w:val="00E46E06"/>
    <w:rsid w:val="00E60418"/>
    <w:rsid w:val="00E61B5B"/>
    <w:rsid w:val="00E66DEB"/>
    <w:rsid w:val="00E733DF"/>
    <w:rsid w:val="00E801F3"/>
    <w:rsid w:val="00E82695"/>
    <w:rsid w:val="00E82C97"/>
    <w:rsid w:val="00E83F4F"/>
    <w:rsid w:val="00E915DE"/>
    <w:rsid w:val="00E91A55"/>
    <w:rsid w:val="00EB2ABA"/>
    <w:rsid w:val="00EB622C"/>
    <w:rsid w:val="00EC31D5"/>
    <w:rsid w:val="00EC5DEC"/>
    <w:rsid w:val="00ED02AF"/>
    <w:rsid w:val="00EE3A13"/>
    <w:rsid w:val="00EE45BD"/>
    <w:rsid w:val="00EE5B83"/>
    <w:rsid w:val="00EF14A4"/>
    <w:rsid w:val="00F11660"/>
    <w:rsid w:val="00F14A39"/>
    <w:rsid w:val="00F16F90"/>
    <w:rsid w:val="00F20FB4"/>
    <w:rsid w:val="00F25C33"/>
    <w:rsid w:val="00F305EA"/>
    <w:rsid w:val="00F34BD2"/>
    <w:rsid w:val="00F5372B"/>
    <w:rsid w:val="00F571C0"/>
    <w:rsid w:val="00F63208"/>
    <w:rsid w:val="00F64195"/>
    <w:rsid w:val="00F6569F"/>
    <w:rsid w:val="00F66195"/>
    <w:rsid w:val="00F72FF8"/>
    <w:rsid w:val="00F7660E"/>
    <w:rsid w:val="00F841CC"/>
    <w:rsid w:val="00F94818"/>
    <w:rsid w:val="00FA3AD9"/>
    <w:rsid w:val="00FB5EAA"/>
    <w:rsid w:val="00FB705B"/>
    <w:rsid w:val="00FD1176"/>
    <w:rsid w:val="00FD270E"/>
    <w:rsid w:val="00FD521D"/>
    <w:rsid w:val="00FD77A0"/>
    <w:rsid w:val="00FE4EE8"/>
    <w:rsid w:val="00FF438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4B687"/>
  <w15:docId w15:val="{95751597-DF1C-4F9C-8FCE-0BEC095E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76810"/>
    <w:pPr>
      <w:spacing w:after="200" w:line="276" w:lineRule="auto"/>
    </w:pPr>
    <w:rPr>
      <w:sz w:val="22"/>
      <w:szCs w:val="22"/>
      <w:lang w:eastAsia="en-US"/>
    </w:rPr>
  </w:style>
  <w:style w:type="paragraph" w:styleId="Titolo1">
    <w:name w:val="heading 1"/>
    <w:basedOn w:val="Normale"/>
    <w:next w:val="Normale"/>
    <w:link w:val="Titolo1Carattere"/>
    <w:qFormat/>
    <w:rsid w:val="001613BF"/>
    <w:pPr>
      <w:keepNext/>
      <w:numPr>
        <w:numId w:val="1"/>
      </w:numPr>
      <w:suppressAutoHyphens/>
      <w:spacing w:after="0" w:line="240" w:lineRule="auto"/>
      <w:outlineLvl w:val="0"/>
    </w:pPr>
    <w:rPr>
      <w:rFonts w:ascii="Times New Roman" w:eastAsia="Times New Roman" w:hAnsi="Times New Roman"/>
      <w:b/>
      <w:bCs/>
      <w:sz w:val="24"/>
      <w:szCs w:val="24"/>
      <w:lang w:val="ru-RU" w:eastAsia="ar-SA"/>
    </w:rPr>
  </w:style>
  <w:style w:type="paragraph" w:styleId="Titolo2">
    <w:name w:val="heading 2"/>
    <w:basedOn w:val="Normale"/>
    <w:next w:val="Normale"/>
    <w:link w:val="Titolo2Carattere"/>
    <w:qFormat/>
    <w:rsid w:val="001613BF"/>
    <w:pPr>
      <w:keepNext/>
      <w:numPr>
        <w:ilvl w:val="1"/>
        <w:numId w:val="1"/>
      </w:numPr>
      <w:suppressAutoHyphens/>
      <w:spacing w:after="0" w:line="240" w:lineRule="auto"/>
      <w:jc w:val="center"/>
      <w:outlineLvl w:val="1"/>
    </w:pPr>
    <w:rPr>
      <w:rFonts w:ascii="Times New Roman" w:eastAsia="Times New Roman" w:hAnsi="Times New Roman"/>
      <w:b/>
      <w:bCs/>
      <w:sz w:val="24"/>
      <w:szCs w:val="24"/>
      <w:lang w:val="ru-RU"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1D2956"/>
    <w:pPr>
      <w:spacing w:after="0" w:line="240" w:lineRule="auto"/>
    </w:pPr>
    <w:rPr>
      <w:sz w:val="20"/>
      <w:szCs w:val="20"/>
    </w:rPr>
  </w:style>
  <w:style w:type="character" w:customStyle="1" w:styleId="TestonotaapidipaginaCarattere">
    <w:name w:val="Testo nota a piè di pagina Carattere"/>
    <w:link w:val="Testonotaapidipagina"/>
    <w:uiPriority w:val="99"/>
    <w:rsid w:val="001D2956"/>
    <w:rPr>
      <w:sz w:val="20"/>
      <w:szCs w:val="20"/>
    </w:rPr>
  </w:style>
  <w:style w:type="character" w:styleId="Rimandonotaapidipagina">
    <w:name w:val="footnote reference"/>
    <w:uiPriority w:val="99"/>
    <w:unhideWhenUsed/>
    <w:rsid w:val="001D2956"/>
    <w:rPr>
      <w:vertAlign w:val="superscript"/>
    </w:rPr>
  </w:style>
  <w:style w:type="paragraph" w:styleId="Testofumetto">
    <w:name w:val="Balloon Text"/>
    <w:basedOn w:val="Normale"/>
    <w:link w:val="TestofumettoCarattere"/>
    <w:uiPriority w:val="99"/>
    <w:semiHidden/>
    <w:unhideWhenUsed/>
    <w:rsid w:val="006311A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311AB"/>
    <w:rPr>
      <w:rFonts w:ascii="Tahoma" w:hAnsi="Tahoma" w:cs="Tahoma"/>
      <w:sz w:val="16"/>
      <w:szCs w:val="16"/>
    </w:rPr>
  </w:style>
  <w:style w:type="character" w:styleId="Collegamentoipertestuale">
    <w:name w:val="Hyperlink"/>
    <w:uiPriority w:val="99"/>
    <w:unhideWhenUsed/>
    <w:rsid w:val="003D027C"/>
    <w:rPr>
      <w:color w:val="0000FF"/>
      <w:u w:val="single"/>
    </w:rPr>
  </w:style>
  <w:style w:type="paragraph" w:styleId="Paragrafoelenco">
    <w:name w:val="List Paragraph"/>
    <w:basedOn w:val="Normale"/>
    <w:uiPriority w:val="34"/>
    <w:qFormat/>
    <w:rsid w:val="00E3414D"/>
    <w:pPr>
      <w:ind w:left="720"/>
      <w:contextualSpacing/>
    </w:pPr>
  </w:style>
  <w:style w:type="paragraph" w:styleId="Intestazione">
    <w:name w:val="header"/>
    <w:basedOn w:val="Normale"/>
    <w:link w:val="IntestazioneCarattere"/>
    <w:uiPriority w:val="99"/>
    <w:unhideWhenUsed/>
    <w:rsid w:val="001360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60E1"/>
    <w:rPr>
      <w:sz w:val="22"/>
      <w:szCs w:val="22"/>
      <w:lang w:eastAsia="en-US"/>
    </w:rPr>
  </w:style>
  <w:style w:type="paragraph" w:styleId="Pidipagina">
    <w:name w:val="footer"/>
    <w:basedOn w:val="Normale"/>
    <w:link w:val="PidipaginaCarattere"/>
    <w:uiPriority w:val="99"/>
    <w:unhideWhenUsed/>
    <w:rsid w:val="001360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60E1"/>
    <w:rPr>
      <w:sz w:val="22"/>
      <w:szCs w:val="22"/>
      <w:lang w:eastAsia="en-US"/>
    </w:rPr>
  </w:style>
  <w:style w:type="character" w:styleId="Testosegnaposto">
    <w:name w:val="Placeholder Text"/>
    <w:basedOn w:val="Carpredefinitoparagrafo"/>
    <w:uiPriority w:val="99"/>
    <w:semiHidden/>
    <w:rsid w:val="009D7A90"/>
    <w:rPr>
      <w:color w:val="808080"/>
    </w:rPr>
  </w:style>
  <w:style w:type="character" w:customStyle="1" w:styleId="Titolo1Carattere">
    <w:name w:val="Titolo 1 Carattere"/>
    <w:basedOn w:val="Carpredefinitoparagrafo"/>
    <w:link w:val="Titolo1"/>
    <w:rsid w:val="001613BF"/>
    <w:rPr>
      <w:rFonts w:ascii="Times New Roman" w:eastAsia="Times New Roman" w:hAnsi="Times New Roman"/>
      <w:b/>
      <w:bCs/>
      <w:sz w:val="24"/>
      <w:szCs w:val="24"/>
      <w:lang w:val="ru-RU" w:eastAsia="ar-SA"/>
    </w:rPr>
  </w:style>
  <w:style w:type="character" w:customStyle="1" w:styleId="Titolo2Carattere">
    <w:name w:val="Titolo 2 Carattere"/>
    <w:basedOn w:val="Carpredefinitoparagrafo"/>
    <w:link w:val="Titolo2"/>
    <w:rsid w:val="001613BF"/>
    <w:rPr>
      <w:rFonts w:ascii="Times New Roman" w:eastAsia="Times New Roman" w:hAnsi="Times New Roman"/>
      <w:b/>
      <w:bCs/>
      <w:sz w:val="24"/>
      <w:szCs w:val="24"/>
      <w:lang w:val="ru-RU" w:eastAsia="ar-SA"/>
    </w:rPr>
  </w:style>
  <w:style w:type="character" w:customStyle="1" w:styleId="Absatz-Standardschriftart">
    <w:name w:val="Absatz-Standardschriftart"/>
    <w:rsid w:val="001613BF"/>
  </w:style>
  <w:style w:type="character" w:customStyle="1" w:styleId="1">
    <w:name w:val="Основной шрифт абзаца1"/>
    <w:rsid w:val="001613BF"/>
  </w:style>
  <w:style w:type="character" w:customStyle="1" w:styleId="a">
    <w:name w:val="Символ сноски"/>
    <w:rsid w:val="001613BF"/>
    <w:rPr>
      <w:vertAlign w:val="superscript"/>
    </w:rPr>
  </w:style>
  <w:style w:type="character" w:styleId="Numeropagina">
    <w:name w:val="page number"/>
    <w:basedOn w:val="1"/>
    <w:semiHidden/>
    <w:rsid w:val="001613BF"/>
  </w:style>
  <w:style w:type="character" w:customStyle="1" w:styleId="a0">
    <w:name w:val="Символы концевой сноски"/>
    <w:rsid w:val="001613BF"/>
    <w:rPr>
      <w:vertAlign w:val="superscript"/>
    </w:rPr>
  </w:style>
  <w:style w:type="character" w:customStyle="1" w:styleId="WW-">
    <w:name w:val="WW-Символы концевой сноски"/>
    <w:rsid w:val="001613BF"/>
  </w:style>
  <w:style w:type="character" w:styleId="Rimandonotadichiusura">
    <w:name w:val="endnote reference"/>
    <w:semiHidden/>
    <w:rsid w:val="001613BF"/>
    <w:rPr>
      <w:vertAlign w:val="superscript"/>
    </w:rPr>
  </w:style>
  <w:style w:type="paragraph" w:customStyle="1" w:styleId="a1">
    <w:name w:val="Заголовок"/>
    <w:basedOn w:val="Normale"/>
    <w:next w:val="Corpotesto"/>
    <w:rsid w:val="001613BF"/>
    <w:pPr>
      <w:keepNext/>
      <w:suppressAutoHyphens/>
      <w:spacing w:before="240" w:after="120" w:line="240" w:lineRule="auto"/>
    </w:pPr>
    <w:rPr>
      <w:rFonts w:ascii="Arial" w:eastAsia="Lucida Sans Unicode" w:hAnsi="Arial" w:cs="Tahoma"/>
      <w:sz w:val="28"/>
      <w:szCs w:val="28"/>
      <w:lang w:val="ru-RU" w:eastAsia="ar-SA"/>
    </w:rPr>
  </w:style>
  <w:style w:type="paragraph" w:styleId="Corpotesto">
    <w:name w:val="Body Text"/>
    <w:basedOn w:val="Normale"/>
    <w:link w:val="CorpotestoCarattere"/>
    <w:semiHidden/>
    <w:rsid w:val="001613BF"/>
    <w:pPr>
      <w:suppressAutoHyphens/>
      <w:spacing w:after="120" w:line="240" w:lineRule="auto"/>
    </w:pPr>
    <w:rPr>
      <w:rFonts w:ascii="Times New Roman" w:eastAsia="Times New Roman" w:hAnsi="Times New Roman"/>
      <w:sz w:val="24"/>
      <w:szCs w:val="24"/>
      <w:lang w:val="ru-RU" w:eastAsia="ar-SA"/>
    </w:rPr>
  </w:style>
  <w:style w:type="character" w:customStyle="1" w:styleId="CorpotestoCarattere">
    <w:name w:val="Corpo testo Carattere"/>
    <w:basedOn w:val="Carpredefinitoparagrafo"/>
    <w:link w:val="Corpotesto"/>
    <w:semiHidden/>
    <w:rsid w:val="001613BF"/>
    <w:rPr>
      <w:rFonts w:ascii="Times New Roman" w:eastAsia="Times New Roman" w:hAnsi="Times New Roman"/>
      <w:sz w:val="24"/>
      <w:szCs w:val="24"/>
      <w:lang w:val="ru-RU" w:eastAsia="ar-SA"/>
    </w:rPr>
  </w:style>
  <w:style w:type="paragraph" w:styleId="Elenco">
    <w:name w:val="List"/>
    <w:basedOn w:val="Corpotesto"/>
    <w:semiHidden/>
    <w:rsid w:val="001613BF"/>
    <w:rPr>
      <w:rFonts w:ascii="Arial" w:hAnsi="Arial" w:cs="Tahoma"/>
    </w:rPr>
  </w:style>
  <w:style w:type="paragraph" w:customStyle="1" w:styleId="10">
    <w:name w:val="Название1"/>
    <w:basedOn w:val="Normale"/>
    <w:rsid w:val="001613BF"/>
    <w:pPr>
      <w:suppressLineNumbers/>
      <w:suppressAutoHyphens/>
      <w:spacing w:before="120" w:after="120" w:line="240" w:lineRule="auto"/>
    </w:pPr>
    <w:rPr>
      <w:rFonts w:ascii="Arial" w:eastAsia="Times New Roman" w:hAnsi="Arial" w:cs="Tahoma"/>
      <w:i/>
      <w:iCs/>
      <w:sz w:val="20"/>
      <w:szCs w:val="24"/>
      <w:lang w:val="ru-RU" w:eastAsia="ar-SA"/>
    </w:rPr>
  </w:style>
  <w:style w:type="paragraph" w:customStyle="1" w:styleId="11">
    <w:name w:val="Указатель1"/>
    <w:basedOn w:val="Normale"/>
    <w:rsid w:val="001613BF"/>
    <w:pPr>
      <w:suppressLineNumbers/>
      <w:suppressAutoHyphens/>
      <w:spacing w:after="0" w:line="240" w:lineRule="auto"/>
    </w:pPr>
    <w:rPr>
      <w:rFonts w:ascii="Arial" w:eastAsia="Times New Roman" w:hAnsi="Arial" w:cs="Tahoma"/>
      <w:sz w:val="24"/>
      <w:szCs w:val="24"/>
      <w:lang w:val="ru-RU" w:eastAsia="ar-SA"/>
    </w:rPr>
  </w:style>
  <w:style w:type="paragraph" w:styleId="Rientrocorpodeltesto">
    <w:name w:val="Body Text Indent"/>
    <w:basedOn w:val="Normale"/>
    <w:link w:val="RientrocorpodeltestoCarattere"/>
    <w:semiHidden/>
    <w:rsid w:val="001613BF"/>
    <w:pPr>
      <w:suppressAutoHyphens/>
      <w:spacing w:after="0" w:line="240" w:lineRule="auto"/>
      <w:ind w:firstLine="709"/>
      <w:jc w:val="both"/>
    </w:pPr>
    <w:rPr>
      <w:rFonts w:ascii="Times New Roman" w:eastAsia="Times New Roman" w:hAnsi="Times New Roman"/>
      <w:sz w:val="24"/>
      <w:szCs w:val="24"/>
      <w:lang w:eastAsia="ar-SA"/>
    </w:rPr>
  </w:style>
  <w:style w:type="character" w:customStyle="1" w:styleId="RientrocorpodeltestoCarattere">
    <w:name w:val="Rientro corpo del testo Carattere"/>
    <w:basedOn w:val="Carpredefinitoparagrafo"/>
    <w:link w:val="Rientrocorpodeltesto"/>
    <w:semiHidden/>
    <w:rsid w:val="001613BF"/>
    <w:rPr>
      <w:rFonts w:ascii="Times New Roman" w:eastAsia="Times New Roman" w:hAnsi="Times New Roman"/>
      <w:sz w:val="24"/>
      <w:szCs w:val="24"/>
      <w:lang w:eastAsia="ar-SA"/>
    </w:rPr>
  </w:style>
  <w:style w:type="paragraph" w:customStyle="1" w:styleId="31">
    <w:name w:val="Основной текст с отступом 31"/>
    <w:basedOn w:val="Normale"/>
    <w:rsid w:val="001613BF"/>
    <w:pPr>
      <w:suppressAutoHyphens/>
      <w:spacing w:after="0" w:line="240" w:lineRule="auto"/>
      <w:ind w:firstLine="709"/>
      <w:jc w:val="both"/>
    </w:pPr>
    <w:rPr>
      <w:rFonts w:ascii="Times New Roman" w:eastAsia="Times New Roman" w:hAnsi="Times New Roman"/>
      <w:b/>
      <w:sz w:val="28"/>
      <w:szCs w:val="24"/>
      <w:lang w:eastAsia="ar-SA"/>
    </w:rPr>
  </w:style>
  <w:style w:type="paragraph" w:customStyle="1" w:styleId="12">
    <w:name w:val="Обычный1"/>
    <w:rsid w:val="001613BF"/>
    <w:pPr>
      <w:suppressAutoHyphens/>
    </w:pPr>
    <w:rPr>
      <w:rFonts w:ascii="Times New Roman" w:eastAsia="Arial" w:hAnsi="Times New Roman"/>
      <w:lang w:val="ru-RU" w:eastAsia="ar-SA"/>
    </w:rPr>
  </w:style>
  <w:style w:type="paragraph" w:customStyle="1" w:styleId="a2">
    <w:name w:val="Содержимое врезки"/>
    <w:basedOn w:val="Corpotesto"/>
    <w:rsid w:val="001613BF"/>
  </w:style>
  <w:style w:type="paragraph" w:customStyle="1" w:styleId="Standard">
    <w:name w:val="Standard"/>
    <w:rsid w:val="001613BF"/>
    <w:pPr>
      <w:suppressAutoHyphens/>
      <w:autoSpaceDN w:val="0"/>
      <w:textAlignment w:val="baseline"/>
    </w:pPr>
    <w:rPr>
      <w:rFonts w:ascii="Times New Roman" w:eastAsia="Times New Roman" w:hAnsi="Times New Roman"/>
      <w:kern w:val="3"/>
      <w:sz w:val="24"/>
      <w:szCs w:val="24"/>
      <w:lang w:val="ru-RU" w:eastAsia="zh-CN"/>
    </w:rPr>
  </w:style>
  <w:style w:type="paragraph" w:customStyle="1" w:styleId="Footnote">
    <w:name w:val="Footnote"/>
    <w:basedOn w:val="Standard"/>
    <w:rsid w:val="001613BF"/>
    <w:rPr>
      <w:sz w:val="20"/>
      <w:szCs w:val="20"/>
    </w:rPr>
  </w:style>
  <w:style w:type="character" w:styleId="Collegamentovisitato">
    <w:name w:val="FollowedHyperlink"/>
    <w:uiPriority w:val="99"/>
    <w:semiHidden/>
    <w:unhideWhenUsed/>
    <w:rsid w:val="001613BF"/>
    <w:rPr>
      <w:color w:val="800080"/>
      <w:u w:val="single"/>
    </w:rPr>
  </w:style>
  <w:style w:type="paragraph" w:styleId="Puntoelenco">
    <w:name w:val="List Bullet"/>
    <w:basedOn w:val="Normale"/>
    <w:uiPriority w:val="99"/>
    <w:unhideWhenUsed/>
    <w:rsid w:val="00DA3939"/>
    <w:pPr>
      <w:numPr>
        <w:numId w:val="8"/>
      </w:numPr>
      <w:contextualSpacing/>
    </w:pPr>
  </w:style>
  <w:style w:type="character" w:customStyle="1" w:styleId="titulo">
    <w:name w:val="titulo"/>
    <w:basedOn w:val="Carpredefinitoparagrafo"/>
    <w:rsid w:val="00D0603F"/>
  </w:style>
  <w:style w:type="character" w:customStyle="1" w:styleId="content-type-listtext">
    <w:name w:val="content-type-list__text"/>
    <w:basedOn w:val="Carpredefinitoparagrafo"/>
    <w:rsid w:val="00D0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9956">
      <w:bodyDiv w:val="1"/>
      <w:marLeft w:val="0"/>
      <w:marRight w:val="0"/>
      <w:marTop w:val="0"/>
      <w:marBottom w:val="0"/>
      <w:divBdr>
        <w:top w:val="none" w:sz="0" w:space="0" w:color="auto"/>
        <w:left w:val="none" w:sz="0" w:space="0" w:color="auto"/>
        <w:bottom w:val="none" w:sz="0" w:space="0" w:color="auto"/>
        <w:right w:val="none" w:sz="0" w:space="0" w:color="auto"/>
      </w:divBdr>
      <w:divsChild>
        <w:div w:id="964965656">
          <w:marLeft w:val="0"/>
          <w:marRight w:val="0"/>
          <w:marTop w:val="0"/>
          <w:marBottom w:val="0"/>
          <w:divBdr>
            <w:top w:val="none" w:sz="0" w:space="0" w:color="auto"/>
            <w:left w:val="none" w:sz="0" w:space="0" w:color="auto"/>
            <w:bottom w:val="none" w:sz="0" w:space="0" w:color="auto"/>
            <w:right w:val="none" w:sz="0" w:space="0" w:color="auto"/>
          </w:divBdr>
        </w:div>
        <w:div w:id="976490515">
          <w:marLeft w:val="0"/>
          <w:marRight w:val="0"/>
          <w:marTop w:val="0"/>
          <w:marBottom w:val="0"/>
          <w:divBdr>
            <w:top w:val="none" w:sz="0" w:space="0" w:color="auto"/>
            <w:left w:val="none" w:sz="0" w:space="0" w:color="auto"/>
            <w:bottom w:val="none" w:sz="0" w:space="0" w:color="auto"/>
            <w:right w:val="none" w:sz="0" w:space="0" w:color="auto"/>
          </w:divBdr>
        </w:div>
        <w:div w:id="1022245121">
          <w:marLeft w:val="0"/>
          <w:marRight w:val="0"/>
          <w:marTop w:val="0"/>
          <w:marBottom w:val="0"/>
          <w:divBdr>
            <w:top w:val="none" w:sz="0" w:space="0" w:color="auto"/>
            <w:left w:val="none" w:sz="0" w:space="0" w:color="auto"/>
            <w:bottom w:val="none" w:sz="0" w:space="0" w:color="auto"/>
            <w:right w:val="none" w:sz="0" w:space="0" w:color="auto"/>
          </w:divBdr>
        </w:div>
        <w:div w:id="1085684551">
          <w:marLeft w:val="0"/>
          <w:marRight w:val="0"/>
          <w:marTop w:val="0"/>
          <w:marBottom w:val="0"/>
          <w:divBdr>
            <w:top w:val="none" w:sz="0" w:space="0" w:color="auto"/>
            <w:left w:val="none" w:sz="0" w:space="0" w:color="auto"/>
            <w:bottom w:val="none" w:sz="0" w:space="0" w:color="auto"/>
            <w:right w:val="none" w:sz="0" w:space="0" w:color="auto"/>
          </w:divBdr>
        </w:div>
        <w:div w:id="1150681151">
          <w:marLeft w:val="0"/>
          <w:marRight w:val="0"/>
          <w:marTop w:val="0"/>
          <w:marBottom w:val="0"/>
          <w:divBdr>
            <w:top w:val="none" w:sz="0" w:space="0" w:color="auto"/>
            <w:left w:val="none" w:sz="0" w:space="0" w:color="auto"/>
            <w:bottom w:val="none" w:sz="0" w:space="0" w:color="auto"/>
            <w:right w:val="none" w:sz="0" w:space="0" w:color="auto"/>
          </w:divBdr>
        </w:div>
        <w:div w:id="1761295080">
          <w:marLeft w:val="0"/>
          <w:marRight w:val="0"/>
          <w:marTop w:val="0"/>
          <w:marBottom w:val="0"/>
          <w:divBdr>
            <w:top w:val="none" w:sz="0" w:space="0" w:color="auto"/>
            <w:left w:val="none" w:sz="0" w:space="0" w:color="auto"/>
            <w:bottom w:val="none" w:sz="0" w:space="0" w:color="auto"/>
            <w:right w:val="none" w:sz="0" w:space="0" w:color="auto"/>
          </w:divBdr>
        </w:div>
        <w:div w:id="1850558484">
          <w:marLeft w:val="0"/>
          <w:marRight w:val="0"/>
          <w:marTop w:val="0"/>
          <w:marBottom w:val="0"/>
          <w:divBdr>
            <w:top w:val="none" w:sz="0" w:space="0" w:color="auto"/>
            <w:left w:val="none" w:sz="0" w:space="0" w:color="auto"/>
            <w:bottom w:val="none" w:sz="0" w:space="0" w:color="auto"/>
            <w:right w:val="none" w:sz="0" w:space="0" w:color="auto"/>
          </w:divBdr>
        </w:div>
        <w:div w:id="1980256947">
          <w:marLeft w:val="0"/>
          <w:marRight w:val="0"/>
          <w:marTop w:val="0"/>
          <w:marBottom w:val="0"/>
          <w:divBdr>
            <w:top w:val="none" w:sz="0" w:space="0" w:color="auto"/>
            <w:left w:val="none" w:sz="0" w:space="0" w:color="auto"/>
            <w:bottom w:val="none" w:sz="0" w:space="0" w:color="auto"/>
            <w:right w:val="none" w:sz="0" w:space="0" w:color="auto"/>
          </w:divBdr>
        </w:div>
        <w:div w:id="2064253445">
          <w:marLeft w:val="0"/>
          <w:marRight w:val="0"/>
          <w:marTop w:val="0"/>
          <w:marBottom w:val="0"/>
          <w:divBdr>
            <w:top w:val="none" w:sz="0" w:space="0" w:color="auto"/>
            <w:left w:val="none" w:sz="0" w:space="0" w:color="auto"/>
            <w:bottom w:val="none" w:sz="0" w:space="0" w:color="auto"/>
            <w:right w:val="none" w:sz="0" w:space="0" w:color="auto"/>
          </w:divBdr>
        </w:div>
      </w:divsChild>
    </w:div>
    <w:div w:id="551774726">
      <w:bodyDiv w:val="1"/>
      <w:marLeft w:val="0"/>
      <w:marRight w:val="0"/>
      <w:marTop w:val="0"/>
      <w:marBottom w:val="0"/>
      <w:divBdr>
        <w:top w:val="none" w:sz="0" w:space="0" w:color="auto"/>
        <w:left w:val="none" w:sz="0" w:space="0" w:color="auto"/>
        <w:bottom w:val="none" w:sz="0" w:space="0" w:color="auto"/>
        <w:right w:val="none" w:sz="0" w:space="0" w:color="auto"/>
      </w:divBdr>
      <w:divsChild>
        <w:div w:id="509099652">
          <w:marLeft w:val="0"/>
          <w:marRight w:val="0"/>
          <w:marTop w:val="0"/>
          <w:marBottom w:val="0"/>
          <w:divBdr>
            <w:top w:val="none" w:sz="0" w:space="0" w:color="auto"/>
            <w:left w:val="none" w:sz="0" w:space="0" w:color="auto"/>
            <w:bottom w:val="none" w:sz="0" w:space="0" w:color="auto"/>
            <w:right w:val="none" w:sz="0" w:space="0" w:color="auto"/>
          </w:divBdr>
        </w:div>
        <w:div w:id="1226070686">
          <w:marLeft w:val="0"/>
          <w:marRight w:val="0"/>
          <w:marTop w:val="0"/>
          <w:marBottom w:val="0"/>
          <w:divBdr>
            <w:top w:val="none" w:sz="0" w:space="0" w:color="auto"/>
            <w:left w:val="none" w:sz="0" w:space="0" w:color="auto"/>
            <w:bottom w:val="none" w:sz="0" w:space="0" w:color="auto"/>
            <w:right w:val="none" w:sz="0" w:space="0" w:color="auto"/>
          </w:divBdr>
        </w:div>
        <w:div w:id="1675843166">
          <w:marLeft w:val="0"/>
          <w:marRight w:val="0"/>
          <w:marTop w:val="0"/>
          <w:marBottom w:val="0"/>
          <w:divBdr>
            <w:top w:val="none" w:sz="0" w:space="0" w:color="auto"/>
            <w:left w:val="none" w:sz="0" w:space="0" w:color="auto"/>
            <w:bottom w:val="none" w:sz="0" w:space="0" w:color="auto"/>
            <w:right w:val="none" w:sz="0" w:space="0" w:color="auto"/>
          </w:divBdr>
        </w:div>
        <w:div w:id="1725330728">
          <w:marLeft w:val="0"/>
          <w:marRight w:val="0"/>
          <w:marTop w:val="0"/>
          <w:marBottom w:val="0"/>
          <w:divBdr>
            <w:top w:val="none" w:sz="0" w:space="0" w:color="auto"/>
            <w:left w:val="none" w:sz="0" w:space="0" w:color="auto"/>
            <w:bottom w:val="none" w:sz="0" w:space="0" w:color="auto"/>
            <w:right w:val="none" w:sz="0" w:space="0" w:color="auto"/>
          </w:divBdr>
        </w:div>
        <w:div w:id="1752191995">
          <w:marLeft w:val="0"/>
          <w:marRight w:val="0"/>
          <w:marTop w:val="0"/>
          <w:marBottom w:val="0"/>
          <w:divBdr>
            <w:top w:val="none" w:sz="0" w:space="0" w:color="auto"/>
            <w:left w:val="none" w:sz="0" w:space="0" w:color="auto"/>
            <w:bottom w:val="none" w:sz="0" w:space="0" w:color="auto"/>
            <w:right w:val="none" w:sz="0" w:space="0" w:color="auto"/>
          </w:divBdr>
        </w:div>
        <w:div w:id="1810660810">
          <w:marLeft w:val="0"/>
          <w:marRight w:val="0"/>
          <w:marTop w:val="0"/>
          <w:marBottom w:val="0"/>
          <w:divBdr>
            <w:top w:val="none" w:sz="0" w:space="0" w:color="auto"/>
            <w:left w:val="none" w:sz="0" w:space="0" w:color="auto"/>
            <w:bottom w:val="none" w:sz="0" w:space="0" w:color="auto"/>
            <w:right w:val="none" w:sz="0" w:space="0" w:color="auto"/>
          </w:divBdr>
        </w:div>
        <w:div w:id="1914851239">
          <w:marLeft w:val="0"/>
          <w:marRight w:val="0"/>
          <w:marTop w:val="0"/>
          <w:marBottom w:val="0"/>
          <w:divBdr>
            <w:top w:val="none" w:sz="0" w:space="0" w:color="auto"/>
            <w:left w:val="none" w:sz="0" w:space="0" w:color="auto"/>
            <w:bottom w:val="none" w:sz="0" w:space="0" w:color="auto"/>
            <w:right w:val="none" w:sz="0" w:space="0" w:color="auto"/>
          </w:divBdr>
        </w:div>
        <w:div w:id="1997297597">
          <w:marLeft w:val="0"/>
          <w:marRight w:val="0"/>
          <w:marTop w:val="0"/>
          <w:marBottom w:val="0"/>
          <w:divBdr>
            <w:top w:val="none" w:sz="0" w:space="0" w:color="auto"/>
            <w:left w:val="none" w:sz="0" w:space="0" w:color="auto"/>
            <w:bottom w:val="none" w:sz="0" w:space="0" w:color="auto"/>
            <w:right w:val="none" w:sz="0" w:space="0" w:color="auto"/>
          </w:divBdr>
        </w:div>
        <w:div w:id="2061173276">
          <w:marLeft w:val="0"/>
          <w:marRight w:val="0"/>
          <w:marTop w:val="0"/>
          <w:marBottom w:val="0"/>
          <w:divBdr>
            <w:top w:val="none" w:sz="0" w:space="0" w:color="auto"/>
            <w:left w:val="none" w:sz="0" w:space="0" w:color="auto"/>
            <w:bottom w:val="none" w:sz="0" w:space="0" w:color="auto"/>
            <w:right w:val="none" w:sz="0" w:space="0" w:color="auto"/>
          </w:divBdr>
        </w:div>
      </w:divsChild>
    </w:div>
    <w:div w:id="1190872884">
      <w:bodyDiv w:val="1"/>
      <w:marLeft w:val="0"/>
      <w:marRight w:val="0"/>
      <w:marTop w:val="0"/>
      <w:marBottom w:val="0"/>
      <w:divBdr>
        <w:top w:val="none" w:sz="0" w:space="0" w:color="auto"/>
        <w:left w:val="none" w:sz="0" w:space="0" w:color="auto"/>
        <w:bottom w:val="none" w:sz="0" w:space="0" w:color="auto"/>
        <w:right w:val="none" w:sz="0" w:space="0" w:color="auto"/>
      </w:divBdr>
      <w:divsChild>
        <w:div w:id="520362548">
          <w:marLeft w:val="0"/>
          <w:marRight w:val="0"/>
          <w:marTop w:val="0"/>
          <w:marBottom w:val="0"/>
          <w:divBdr>
            <w:top w:val="none" w:sz="0" w:space="0" w:color="auto"/>
            <w:left w:val="none" w:sz="0" w:space="0" w:color="auto"/>
            <w:bottom w:val="none" w:sz="0" w:space="0" w:color="auto"/>
            <w:right w:val="none" w:sz="0" w:space="0" w:color="auto"/>
          </w:divBdr>
        </w:div>
        <w:div w:id="1000543578">
          <w:marLeft w:val="0"/>
          <w:marRight w:val="0"/>
          <w:marTop w:val="0"/>
          <w:marBottom w:val="0"/>
          <w:divBdr>
            <w:top w:val="none" w:sz="0" w:space="0" w:color="auto"/>
            <w:left w:val="none" w:sz="0" w:space="0" w:color="auto"/>
            <w:bottom w:val="none" w:sz="0" w:space="0" w:color="auto"/>
            <w:right w:val="none" w:sz="0" w:space="0" w:color="auto"/>
          </w:divBdr>
        </w:div>
        <w:div w:id="1430738224">
          <w:marLeft w:val="0"/>
          <w:marRight w:val="0"/>
          <w:marTop w:val="0"/>
          <w:marBottom w:val="0"/>
          <w:divBdr>
            <w:top w:val="none" w:sz="0" w:space="0" w:color="auto"/>
            <w:left w:val="none" w:sz="0" w:space="0" w:color="auto"/>
            <w:bottom w:val="none" w:sz="0" w:space="0" w:color="auto"/>
            <w:right w:val="none" w:sz="0" w:space="0" w:color="auto"/>
          </w:divBdr>
        </w:div>
      </w:divsChild>
    </w:div>
    <w:div w:id="1557282184">
      <w:bodyDiv w:val="1"/>
      <w:marLeft w:val="0"/>
      <w:marRight w:val="0"/>
      <w:marTop w:val="0"/>
      <w:marBottom w:val="0"/>
      <w:divBdr>
        <w:top w:val="none" w:sz="0" w:space="0" w:color="auto"/>
        <w:left w:val="none" w:sz="0" w:space="0" w:color="auto"/>
        <w:bottom w:val="none" w:sz="0" w:space="0" w:color="auto"/>
        <w:right w:val="none" w:sz="0" w:space="0" w:color="auto"/>
      </w:divBdr>
    </w:div>
    <w:div w:id="1643461114">
      <w:bodyDiv w:val="1"/>
      <w:marLeft w:val="0"/>
      <w:marRight w:val="0"/>
      <w:marTop w:val="0"/>
      <w:marBottom w:val="0"/>
      <w:divBdr>
        <w:top w:val="none" w:sz="0" w:space="0" w:color="auto"/>
        <w:left w:val="none" w:sz="0" w:space="0" w:color="auto"/>
        <w:bottom w:val="none" w:sz="0" w:space="0" w:color="auto"/>
        <w:right w:val="none" w:sz="0" w:space="0" w:color="auto"/>
      </w:divBdr>
      <w:divsChild>
        <w:div w:id="630405323">
          <w:marLeft w:val="0"/>
          <w:marRight w:val="0"/>
          <w:marTop w:val="0"/>
          <w:marBottom w:val="0"/>
          <w:divBdr>
            <w:top w:val="none" w:sz="0" w:space="0" w:color="auto"/>
            <w:left w:val="none" w:sz="0" w:space="0" w:color="auto"/>
            <w:bottom w:val="none" w:sz="0" w:space="0" w:color="auto"/>
            <w:right w:val="none" w:sz="0" w:space="0" w:color="auto"/>
          </w:divBdr>
        </w:div>
        <w:div w:id="1129205034">
          <w:marLeft w:val="0"/>
          <w:marRight w:val="0"/>
          <w:marTop w:val="0"/>
          <w:marBottom w:val="0"/>
          <w:divBdr>
            <w:top w:val="none" w:sz="0" w:space="0" w:color="auto"/>
            <w:left w:val="none" w:sz="0" w:space="0" w:color="auto"/>
            <w:bottom w:val="none" w:sz="0" w:space="0" w:color="auto"/>
            <w:right w:val="none" w:sz="0" w:space="0" w:color="auto"/>
          </w:divBdr>
        </w:div>
        <w:div w:id="123693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oe.es/boe/dias/2008/10/10/pdfs/T00003-00014.pdf%20y%20Sentencia%2042/2014" TargetMode="External"/><Relationship Id="rId2" Type="http://schemas.openxmlformats.org/officeDocument/2006/relationships/hyperlink" Target="https://www.boe.es/boe/dias/2014/04/10/pdfs/BOE-A-2014-3885.pdf" TargetMode="External"/><Relationship Id="rId3" Type="http://schemas.openxmlformats.org/officeDocument/2006/relationships/hyperlink" Target="https://link.springer.com/chapter/10.1007/978-90-481-8942-7_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4B5E-1BDE-DC4E-85C2-079C7E39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3032</Words>
  <Characters>17289</Characters>
  <Application>Microsoft Macintosh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20281</CharactersWithSpaces>
  <SharedDoc>false</SharedDoc>
  <HLinks>
    <vt:vector size="6" baseType="variant">
      <vt:variant>
        <vt:i4>8061044</vt:i4>
      </vt:variant>
      <vt:variant>
        <vt:i4>0</vt:i4>
      </vt:variant>
      <vt:variant>
        <vt:i4>0</vt:i4>
      </vt:variant>
      <vt:variant>
        <vt:i4>5</vt:i4>
      </vt:variant>
      <vt:variant>
        <vt:lpwstr>http://www.ordines.it/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 Guzzo</cp:lastModifiedBy>
  <cp:revision>2</cp:revision>
  <cp:lastPrinted>2016-05-07T06:55:00Z</cp:lastPrinted>
  <dcterms:created xsi:type="dcterms:W3CDTF">2018-02-03T15:13:00Z</dcterms:created>
  <dcterms:modified xsi:type="dcterms:W3CDTF">2018-02-03T15:13:00Z</dcterms:modified>
</cp:coreProperties>
</file>